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55"/>
        <w:gridCol w:w="4518"/>
        <w:gridCol w:w="1297"/>
      </w:tblGrid>
      <w:tr w:rsidR="000E3D7A" w:rsidRPr="00EE7370" w:rsidTr="00B32D7D">
        <w:trPr>
          <w:tblHeader/>
        </w:trPr>
        <w:tc>
          <w:tcPr>
            <w:tcW w:w="0" w:type="auto"/>
            <w:shd w:val="clear" w:color="auto" w:fill="BFBFBF" w:themeFill="background1" w:themeFillShade="BF"/>
          </w:tcPr>
          <w:p w:rsidR="00307305" w:rsidRPr="00307305" w:rsidRDefault="00E93D58" w:rsidP="00307305">
            <w:pPr>
              <w:pStyle w:val="NoSpacing"/>
              <w:spacing w:before="100" w:after="100"/>
              <w:jc w:val="center"/>
            </w:pPr>
            <w:bookmarkStart w:id="0" w:name="_GoBack"/>
            <w:bookmarkEnd w:id="0"/>
            <w:r>
              <w:t>ESS</w:t>
            </w:r>
            <w:r w:rsidR="00307305" w:rsidRPr="00307305">
              <w:t xml:space="preserve"> </w:t>
            </w:r>
            <w:r w:rsidR="000E3D7A" w:rsidRPr="00307305">
              <w:t xml:space="preserve"> Function</w:t>
            </w:r>
            <w:r w:rsidR="00E87DAB">
              <w:t>:</w:t>
            </w:r>
          </w:p>
        </w:tc>
        <w:tc>
          <w:tcPr>
            <w:tcW w:w="4518" w:type="dxa"/>
            <w:shd w:val="clear" w:color="auto" w:fill="BFBFBF" w:themeFill="background1" w:themeFillShade="BF"/>
          </w:tcPr>
          <w:p w:rsidR="000E3D7A" w:rsidRPr="00307305" w:rsidRDefault="00E87DAB" w:rsidP="00307305">
            <w:pPr>
              <w:pStyle w:val="NoSpacing"/>
              <w:spacing w:before="100" w:after="100"/>
              <w:ind w:left="0" w:firstLine="0"/>
              <w:jc w:val="center"/>
            </w:pPr>
            <w:r>
              <w:t xml:space="preserve">Delaware JobLink </w:t>
            </w:r>
            <w:r w:rsidR="000E3D7A" w:rsidRPr="00307305">
              <w:t>DJL Function</w:t>
            </w:r>
            <w:r>
              <w:t>s:</w:t>
            </w:r>
          </w:p>
        </w:tc>
        <w:tc>
          <w:tcPr>
            <w:tcW w:w="1297" w:type="dxa"/>
            <w:shd w:val="clear" w:color="auto" w:fill="BFBFBF" w:themeFill="background1" w:themeFillShade="BF"/>
          </w:tcPr>
          <w:p w:rsidR="000E3D7A" w:rsidRPr="00307305" w:rsidRDefault="000E3D7A" w:rsidP="00F9442F">
            <w:pPr>
              <w:pStyle w:val="NoSpacing"/>
              <w:spacing w:before="100" w:after="100"/>
              <w:ind w:left="0" w:firstLine="0"/>
              <w:jc w:val="center"/>
            </w:pPr>
            <w:r w:rsidRPr="00307305">
              <w:t>Area</w:t>
            </w:r>
          </w:p>
        </w:tc>
      </w:tr>
      <w:tr w:rsidR="000E3D7A" w:rsidRPr="008D3A31" w:rsidTr="00B32D7D">
        <w:trPr>
          <w:trHeight w:val="1152"/>
        </w:trPr>
        <w:tc>
          <w:tcPr>
            <w:tcW w:w="0" w:type="auto"/>
          </w:tcPr>
          <w:p w:rsidR="00835D47" w:rsidRDefault="00F56044" w:rsidP="00835D47">
            <w:pPr>
              <w:spacing w:after="0"/>
            </w:pPr>
            <w:r>
              <w:t xml:space="preserve">*The best method for </w:t>
            </w:r>
            <w:r w:rsidR="00835D47">
              <w:t>a</w:t>
            </w:r>
            <w:r w:rsidR="0075154D">
              <w:t xml:space="preserve"> resume</w:t>
            </w:r>
            <w:r>
              <w:t xml:space="preserve"> search is to create the resume in DJL and assign the correct O*Net code to each work experience that is contained in the resume</w:t>
            </w:r>
            <w:r w:rsidR="00835D47">
              <w:t xml:space="preserve"> and assign the correct O*Net to each job order that is created</w:t>
            </w:r>
            <w:r>
              <w:t xml:space="preserve">.  </w:t>
            </w:r>
            <w:r w:rsidR="002C0A69">
              <w:t>This is the method</w:t>
            </w:r>
            <w:r w:rsidR="00835D47">
              <w:t xml:space="preserve"> that is required by DET policy</w:t>
            </w:r>
          </w:p>
          <w:p w:rsidR="00835D47" w:rsidRPr="00835D47" w:rsidRDefault="00835D47" w:rsidP="00835D47">
            <w:pPr>
              <w:spacing w:after="0"/>
              <w:rPr>
                <w:b/>
              </w:rPr>
            </w:pPr>
            <w:r w:rsidRPr="00835D47">
              <w:rPr>
                <w:b/>
              </w:rPr>
              <w:t>To conduct the resume search when assisting an employer:</w:t>
            </w:r>
          </w:p>
          <w:p w:rsidR="00F56044" w:rsidRPr="008D3A31" w:rsidRDefault="00F56044" w:rsidP="00F56044">
            <w:pPr>
              <w:spacing w:after="0"/>
            </w:pPr>
          </w:p>
        </w:tc>
        <w:tc>
          <w:tcPr>
            <w:tcW w:w="4518" w:type="dxa"/>
          </w:tcPr>
          <w:p w:rsidR="00384575" w:rsidRDefault="00833907" w:rsidP="00B32D7D">
            <w:pPr>
              <w:pStyle w:val="Default"/>
              <w:rPr>
                <w:b/>
                <w:sz w:val="22"/>
                <w:szCs w:val="22"/>
              </w:rPr>
            </w:pPr>
            <w:r w:rsidRPr="00A05F22">
              <w:rPr>
                <w:b/>
                <w:sz w:val="22"/>
                <w:szCs w:val="22"/>
              </w:rPr>
              <w:t xml:space="preserve"> </w:t>
            </w:r>
          </w:p>
          <w:p w:rsidR="00384575" w:rsidRDefault="00384575" w:rsidP="00B32D7D">
            <w:pPr>
              <w:pStyle w:val="Default"/>
              <w:rPr>
                <w:b/>
                <w:sz w:val="22"/>
                <w:szCs w:val="22"/>
              </w:rPr>
            </w:pPr>
          </w:p>
          <w:p w:rsidR="00384575" w:rsidRDefault="00384575" w:rsidP="00B32D7D">
            <w:pPr>
              <w:pStyle w:val="Default"/>
              <w:rPr>
                <w:b/>
                <w:sz w:val="22"/>
                <w:szCs w:val="22"/>
              </w:rPr>
            </w:pPr>
          </w:p>
          <w:p w:rsidR="00384575" w:rsidRDefault="00384575" w:rsidP="00B32D7D">
            <w:pPr>
              <w:pStyle w:val="Default"/>
              <w:rPr>
                <w:b/>
                <w:sz w:val="22"/>
                <w:szCs w:val="22"/>
              </w:rPr>
            </w:pPr>
          </w:p>
          <w:p w:rsidR="00384575" w:rsidRDefault="00384575" w:rsidP="00B32D7D">
            <w:pPr>
              <w:pStyle w:val="Default"/>
              <w:rPr>
                <w:b/>
                <w:sz w:val="22"/>
                <w:szCs w:val="22"/>
              </w:rPr>
            </w:pPr>
          </w:p>
          <w:p w:rsidR="009A0F3B" w:rsidRDefault="009A0F3B" w:rsidP="00B32D7D">
            <w:pPr>
              <w:pStyle w:val="Default"/>
            </w:pPr>
          </w:p>
          <w:p w:rsidR="00833907" w:rsidRPr="00FB3E78" w:rsidRDefault="00833907" w:rsidP="00B32D7D">
            <w:pPr>
              <w:pStyle w:val="Default"/>
              <w:rPr>
                <w:sz w:val="22"/>
                <w:szCs w:val="22"/>
              </w:rPr>
            </w:pPr>
          </w:p>
        </w:tc>
        <w:tc>
          <w:tcPr>
            <w:tcW w:w="1297" w:type="dxa"/>
          </w:tcPr>
          <w:p w:rsidR="00384575" w:rsidRDefault="00384575" w:rsidP="00B32D7D">
            <w:pPr>
              <w:ind w:hanging="804"/>
              <w:jc w:val="center"/>
            </w:pPr>
          </w:p>
          <w:p w:rsidR="00384575" w:rsidRDefault="00384575" w:rsidP="00B32D7D">
            <w:pPr>
              <w:ind w:hanging="804"/>
              <w:jc w:val="center"/>
            </w:pPr>
          </w:p>
          <w:p w:rsidR="00384575" w:rsidRDefault="00384575" w:rsidP="00B32D7D">
            <w:pPr>
              <w:ind w:hanging="804"/>
              <w:jc w:val="center"/>
            </w:pPr>
          </w:p>
          <w:p w:rsidR="000E3D7A" w:rsidRPr="008D3A31" w:rsidRDefault="000E3D7A" w:rsidP="00835D47">
            <w:pPr>
              <w:ind w:hanging="804"/>
              <w:jc w:val="center"/>
            </w:pPr>
          </w:p>
        </w:tc>
      </w:tr>
      <w:tr w:rsidR="000E3D7A" w:rsidRPr="008D3A31" w:rsidTr="00AE4379">
        <w:trPr>
          <w:trHeight w:val="3923"/>
        </w:trPr>
        <w:tc>
          <w:tcPr>
            <w:tcW w:w="0" w:type="auto"/>
          </w:tcPr>
          <w:p w:rsidR="002773F4" w:rsidRPr="0017308E" w:rsidRDefault="00835D47" w:rsidP="00394386">
            <w:pPr>
              <w:pStyle w:val="ListParagraph"/>
              <w:numPr>
                <w:ilvl w:val="0"/>
                <w:numId w:val="4"/>
              </w:numPr>
              <w:spacing w:after="0"/>
              <w:rPr>
                <w:b/>
              </w:rPr>
            </w:pPr>
            <w:r w:rsidRPr="0017308E">
              <w:rPr>
                <w:b/>
              </w:rPr>
              <w:t>To search for resumes that match an employer’s specific job order, first locate the employer by conducting an employer search.</w:t>
            </w:r>
            <w:r w:rsidR="005410B0" w:rsidRPr="0017308E">
              <w:rPr>
                <w:b/>
              </w:rPr>
              <w:t xml:space="preserve"> Then locate the job order and perform the search. </w:t>
            </w: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2773F4" w:rsidRDefault="002773F4" w:rsidP="002773F4">
            <w:pPr>
              <w:spacing w:after="0"/>
              <w:ind w:firstLine="0"/>
              <w:rPr>
                <w:b/>
              </w:rPr>
            </w:pPr>
          </w:p>
          <w:p w:rsidR="005410B0" w:rsidRDefault="005410B0" w:rsidP="002773F4">
            <w:pPr>
              <w:rPr>
                <w:sz w:val="23"/>
                <w:szCs w:val="23"/>
              </w:rPr>
            </w:pPr>
          </w:p>
          <w:p w:rsidR="005410B0" w:rsidRDefault="005410B0" w:rsidP="002773F4">
            <w:pPr>
              <w:rPr>
                <w:sz w:val="23"/>
                <w:szCs w:val="23"/>
              </w:rPr>
            </w:pPr>
          </w:p>
          <w:p w:rsidR="005410B0" w:rsidRDefault="005410B0" w:rsidP="002773F4">
            <w:pPr>
              <w:rPr>
                <w:sz w:val="23"/>
                <w:szCs w:val="23"/>
              </w:rPr>
            </w:pPr>
          </w:p>
          <w:p w:rsidR="005410B0" w:rsidRDefault="005410B0" w:rsidP="002773F4">
            <w:pPr>
              <w:rPr>
                <w:sz w:val="23"/>
                <w:szCs w:val="23"/>
              </w:rPr>
            </w:pPr>
          </w:p>
          <w:p w:rsidR="005410B0" w:rsidRDefault="005410B0" w:rsidP="002773F4">
            <w:pPr>
              <w:rPr>
                <w:sz w:val="23"/>
                <w:szCs w:val="23"/>
              </w:rPr>
            </w:pPr>
          </w:p>
          <w:p w:rsidR="00394386" w:rsidRDefault="00394386" w:rsidP="002773F4">
            <w:pPr>
              <w:rPr>
                <w:sz w:val="23"/>
                <w:szCs w:val="23"/>
              </w:rPr>
            </w:pPr>
          </w:p>
          <w:p w:rsidR="00394386" w:rsidRDefault="00394386" w:rsidP="002773F4">
            <w:pPr>
              <w:rPr>
                <w:sz w:val="23"/>
                <w:szCs w:val="23"/>
              </w:rPr>
            </w:pPr>
          </w:p>
          <w:p w:rsidR="00394386" w:rsidRDefault="00394386" w:rsidP="002773F4">
            <w:pPr>
              <w:rPr>
                <w:sz w:val="23"/>
                <w:szCs w:val="23"/>
              </w:rPr>
            </w:pPr>
          </w:p>
          <w:p w:rsidR="00394386" w:rsidRDefault="00394386" w:rsidP="00394386">
            <w:pPr>
              <w:ind w:left="0" w:firstLine="0"/>
              <w:rPr>
                <w:sz w:val="23"/>
                <w:szCs w:val="23"/>
              </w:rPr>
            </w:pPr>
          </w:p>
          <w:p w:rsidR="00394386" w:rsidRDefault="00394386" w:rsidP="00394386">
            <w:pPr>
              <w:ind w:left="360" w:firstLine="0"/>
              <w:rPr>
                <w:sz w:val="23"/>
                <w:szCs w:val="23"/>
              </w:rPr>
            </w:pPr>
          </w:p>
          <w:p w:rsidR="0017308E" w:rsidRDefault="0017308E" w:rsidP="00394386">
            <w:pPr>
              <w:ind w:left="360" w:firstLine="0"/>
              <w:rPr>
                <w:sz w:val="23"/>
                <w:szCs w:val="23"/>
              </w:rPr>
            </w:pPr>
          </w:p>
          <w:p w:rsidR="0017308E" w:rsidRDefault="002773F4" w:rsidP="00394386">
            <w:pPr>
              <w:ind w:left="360" w:firstLine="0"/>
              <w:rPr>
                <w:sz w:val="23"/>
                <w:szCs w:val="23"/>
              </w:rPr>
            </w:pPr>
            <w:r w:rsidRPr="002773F4">
              <w:rPr>
                <w:sz w:val="23"/>
                <w:szCs w:val="23"/>
              </w:rPr>
              <w:t>If no searche</w:t>
            </w:r>
            <w:r>
              <w:rPr>
                <w:sz w:val="23"/>
                <w:szCs w:val="23"/>
              </w:rPr>
              <w:t>s are found,</w:t>
            </w:r>
            <w:r w:rsidRPr="002773F4">
              <w:rPr>
                <w:sz w:val="23"/>
                <w:szCs w:val="23"/>
              </w:rPr>
              <w:t xml:space="preserve"> expand the search.</w:t>
            </w:r>
            <w:r w:rsidR="00394386">
              <w:rPr>
                <w:sz w:val="23"/>
                <w:szCs w:val="23"/>
              </w:rPr>
              <w:t xml:space="preserve"> </w:t>
            </w:r>
          </w:p>
          <w:p w:rsidR="0017308E" w:rsidRDefault="0017308E" w:rsidP="00394386">
            <w:pPr>
              <w:ind w:left="360" w:firstLine="0"/>
              <w:rPr>
                <w:sz w:val="23"/>
                <w:szCs w:val="23"/>
              </w:rPr>
            </w:pPr>
          </w:p>
          <w:p w:rsidR="0017308E" w:rsidRDefault="0017308E" w:rsidP="00394386">
            <w:pPr>
              <w:ind w:left="360" w:firstLine="0"/>
              <w:rPr>
                <w:sz w:val="23"/>
                <w:szCs w:val="23"/>
              </w:rPr>
            </w:pPr>
          </w:p>
          <w:p w:rsidR="0017308E" w:rsidRDefault="0017308E" w:rsidP="00394386">
            <w:pPr>
              <w:ind w:left="360" w:firstLine="0"/>
              <w:rPr>
                <w:sz w:val="23"/>
                <w:szCs w:val="23"/>
              </w:rPr>
            </w:pPr>
          </w:p>
          <w:p w:rsidR="002773F4" w:rsidRPr="0017308E" w:rsidRDefault="00394386" w:rsidP="0017308E">
            <w:pPr>
              <w:ind w:left="360" w:firstLine="0"/>
              <w:rPr>
                <w:sz w:val="23"/>
                <w:szCs w:val="23"/>
              </w:rPr>
            </w:pPr>
            <w:r>
              <w:rPr>
                <w:sz w:val="23"/>
                <w:szCs w:val="23"/>
              </w:rPr>
              <w:t>If still not searches, go to step #2.</w:t>
            </w:r>
          </w:p>
        </w:tc>
        <w:tc>
          <w:tcPr>
            <w:tcW w:w="4518" w:type="dxa"/>
          </w:tcPr>
          <w:p w:rsidR="00835D47" w:rsidRDefault="009513FD" w:rsidP="00F56044">
            <w:pPr>
              <w:pStyle w:val="NoSpacing"/>
              <w:ind w:left="0" w:firstLine="0"/>
            </w:pPr>
            <w:r>
              <w:lastRenderedPageBreak/>
              <w:t xml:space="preserve"> </w:t>
            </w:r>
            <w:r w:rsidR="00835D47">
              <w:t xml:space="preserve">Click on left side of page on “Employer Search”. Type in “Company Name”. </w:t>
            </w:r>
          </w:p>
          <w:p w:rsidR="00835D47" w:rsidRDefault="00835D47" w:rsidP="00F56044">
            <w:pPr>
              <w:pStyle w:val="NoSpacing"/>
              <w:ind w:left="0" w:firstLine="0"/>
            </w:pPr>
            <w:r>
              <w:t xml:space="preserve">Scroll to bottom of page and click on “Search”. Employer names that are similar to what you entered will show. If there are several listed, you can click on the name and more information will appear, which will assist you in selecting the correct employer you are searching for. </w:t>
            </w:r>
          </w:p>
          <w:p w:rsidR="00835D47" w:rsidRDefault="00835D47" w:rsidP="00F56044">
            <w:pPr>
              <w:pStyle w:val="NoSpacing"/>
              <w:ind w:left="0" w:firstLine="0"/>
            </w:pPr>
            <w:r>
              <w:t xml:space="preserve">When you select a “Company Name”, it will take you to “Employer Details” </w:t>
            </w:r>
            <w:r w:rsidR="005410B0">
              <w:t>page</w:t>
            </w:r>
            <w:r>
              <w:t xml:space="preserve">. </w:t>
            </w:r>
          </w:p>
          <w:p w:rsidR="00835D47" w:rsidRDefault="00835D47" w:rsidP="00F56044">
            <w:pPr>
              <w:pStyle w:val="NoSpacing"/>
              <w:ind w:left="0" w:firstLine="0"/>
            </w:pPr>
            <w:r>
              <w:t>Click on “Job List”</w:t>
            </w:r>
            <w:r w:rsidR="005410B0">
              <w:t>. You will be taken to “Active Job Posting</w:t>
            </w:r>
            <w:r w:rsidR="00D22A1D">
              <w:t xml:space="preserve">s” page. From this page </w:t>
            </w:r>
            <w:r w:rsidR="005410B0">
              <w:t xml:space="preserve">click on “Job Title” to review the posting. </w:t>
            </w:r>
          </w:p>
          <w:p w:rsidR="005410B0" w:rsidRDefault="005410B0" w:rsidP="00F56044">
            <w:pPr>
              <w:pStyle w:val="NoSpacing"/>
              <w:ind w:left="0" w:firstLine="0"/>
            </w:pPr>
            <w:r>
              <w:t xml:space="preserve">To perform the resume search, you should click on resume search for the desired job title. </w:t>
            </w:r>
            <w:r w:rsidR="00394386">
              <w:t xml:space="preserve">Then scroll to the bottom of page and click, “Show Candidates”. </w:t>
            </w:r>
          </w:p>
          <w:p w:rsidR="0017308E" w:rsidRDefault="00835D47" w:rsidP="00F56044">
            <w:pPr>
              <w:pStyle w:val="NoSpacing"/>
              <w:ind w:left="0" w:firstLine="0"/>
            </w:pPr>
            <w:r>
              <w:t>Job seekers</w:t>
            </w:r>
            <w:r w:rsidR="00F56044">
              <w:t xml:space="preserve"> will appear in order of rel</w:t>
            </w:r>
            <w:r w:rsidR="00D22A1D">
              <w:t>evance. By clicking on resume title,</w:t>
            </w:r>
            <w:r w:rsidR="00F56044">
              <w:t xml:space="preserve"> additional information</w:t>
            </w:r>
            <w:r w:rsidR="00D22A1D">
              <w:t xml:space="preserve"> on job seeker</w:t>
            </w:r>
            <w:r w:rsidR="00F56044">
              <w:t xml:space="preserve"> will appear. </w:t>
            </w:r>
            <w:r w:rsidR="0017308E">
              <w:t xml:space="preserve">Scroll to the bottom of the screen and </w:t>
            </w:r>
            <w:r w:rsidR="0017308E" w:rsidRPr="0017308E">
              <w:t xml:space="preserve">you will </w:t>
            </w:r>
            <w:r w:rsidR="0017308E" w:rsidRPr="0017308E">
              <w:rPr>
                <w:rFonts w:asciiTheme="minorHAnsi" w:hAnsiTheme="minorHAnsi"/>
              </w:rPr>
              <w:t xml:space="preserve">see the </w:t>
            </w:r>
            <w:r w:rsidR="0017308E" w:rsidRPr="0017308E">
              <w:rPr>
                <w:rFonts w:asciiTheme="minorHAnsi" w:hAnsiTheme="minorHAnsi" w:cs="Helvetica"/>
                <w:bCs/>
              </w:rPr>
              <w:t xml:space="preserve">Gap evaluation for </w:t>
            </w:r>
            <w:r w:rsidR="0017308E" w:rsidRPr="0017308E">
              <w:rPr>
                <w:rFonts w:asciiTheme="minorHAnsi" w:hAnsiTheme="minorHAnsi" w:cs="Helvetica"/>
                <w:bCs/>
              </w:rPr>
              <w:lastRenderedPageBreak/>
              <w:t>selected resume.</w:t>
            </w:r>
            <w:r w:rsidR="0017308E">
              <w:rPr>
                <w:rFonts w:ascii="Verdana" w:hAnsi="Verdana" w:cs="Helvetica"/>
                <w:b/>
                <w:bCs/>
                <w:color w:val="4D77A4"/>
                <w:sz w:val="21"/>
                <w:szCs w:val="21"/>
              </w:rPr>
              <w:t xml:space="preserve"> </w:t>
            </w:r>
          </w:p>
          <w:p w:rsidR="0017308E" w:rsidRDefault="0017308E" w:rsidP="00F56044">
            <w:pPr>
              <w:pStyle w:val="NoSpacing"/>
              <w:ind w:left="0" w:firstLine="0"/>
            </w:pPr>
          </w:p>
          <w:p w:rsidR="00AE4379" w:rsidRDefault="00B33DC5" w:rsidP="00F56044">
            <w:pPr>
              <w:pStyle w:val="NoSpacing"/>
              <w:ind w:left="0" w:firstLine="0"/>
            </w:pPr>
            <w:r>
              <w:t>Click “</w:t>
            </w:r>
            <w:r w:rsidR="00D22A1D">
              <w:t>go to client details</w:t>
            </w:r>
            <w:r>
              <w:t>”</w:t>
            </w:r>
            <w:r w:rsidR="00D22A1D">
              <w:t xml:space="preserve"> </w:t>
            </w:r>
            <w:r>
              <w:t xml:space="preserve">which will take you to the client Universal page. </w:t>
            </w:r>
            <w:r w:rsidR="00394386">
              <w:t xml:space="preserve">Use the below key to determine Veteran, RES or UI resume. </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2"/>
              <w:gridCol w:w="3606"/>
            </w:tblGrid>
            <w:tr w:rsidR="00394386" w:rsidRPr="00394386" w:rsidTr="00394386">
              <w:trPr>
                <w:tblCellSpacing w:w="0" w:type="dxa"/>
              </w:trPr>
              <w:tc>
                <w:tcPr>
                  <w:tcW w:w="1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jc w:val="center"/>
                    <w:rPr>
                      <w:rFonts w:ascii="Verdana" w:eastAsia="Times New Roman" w:hAnsi="Verdana"/>
                      <w:sz w:val="18"/>
                      <w:szCs w:val="18"/>
                    </w:rPr>
                  </w:pPr>
                  <w:r>
                    <w:rPr>
                      <w:rFonts w:ascii="Verdana" w:eastAsia="Times New Roman" w:hAnsi="Verdana"/>
                      <w:b/>
                      <w:bCs/>
                      <w:noProof/>
                      <w:color w:val="000000"/>
                      <w:sz w:val="18"/>
                      <w:szCs w:val="18"/>
                    </w:rPr>
                    <w:drawing>
                      <wp:inline distT="0" distB="0" distL="0" distR="0" wp14:anchorId="4BE4D4D7" wp14:editId="24C612CD">
                        <wp:extent cx="180975" cy="161925"/>
                        <wp:effectExtent l="19050" t="0" r="9525" b="0"/>
                        <wp:docPr id="7" name="Picture 1" descr="This candidate is enrolled in 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andidate is enrolled in UI."/>
                                <pic:cNvPicPr>
                                  <a:picLocks noChangeAspect="1" noChangeArrowheads="1"/>
                                </pic:cNvPicPr>
                              </pic:nvPicPr>
                              <pic:blipFill>
                                <a:blip r:embed="rId9"/>
                                <a:srcRect/>
                                <a:stretch>
                                  <a:fillRect/>
                                </a:stretch>
                              </pic:blipFill>
                              <pic:spPr bwMode="auto">
                                <a:xfrm>
                                  <a:off x="0" y="0"/>
                                  <a:ext cx="180975" cy="161925"/>
                                </a:xfrm>
                                <a:prstGeom prst="rect">
                                  <a:avLst/>
                                </a:prstGeom>
                                <a:noFill/>
                                <a:ln w="9525">
                                  <a:noFill/>
                                  <a:miter lim="800000"/>
                                  <a:headEnd/>
                                  <a:tailEnd/>
                                </a:ln>
                              </pic:spPr>
                            </pic:pic>
                          </a:graphicData>
                        </a:graphic>
                      </wp:inline>
                    </w:drawing>
                  </w:r>
                </w:p>
              </w:tc>
              <w:tc>
                <w:tcPr>
                  <w:tcW w:w="4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rPr>
                      <w:rFonts w:ascii="Verdana" w:eastAsia="Times New Roman" w:hAnsi="Verdana"/>
                      <w:sz w:val="18"/>
                      <w:szCs w:val="18"/>
                    </w:rPr>
                  </w:pPr>
                  <w:r w:rsidRPr="00394386">
                    <w:rPr>
                      <w:rFonts w:ascii="Verdana" w:eastAsia="Times New Roman" w:hAnsi="Verdana"/>
                      <w:color w:val="000000"/>
                      <w:sz w:val="18"/>
                    </w:rPr>
                    <w:t>Unemployment Insurance Claimant</w:t>
                  </w:r>
                </w:p>
              </w:tc>
            </w:tr>
            <w:tr w:rsidR="00394386" w:rsidRPr="00394386" w:rsidTr="00394386">
              <w:trPr>
                <w:tblCellSpacing w:w="0" w:type="dxa"/>
              </w:trPr>
              <w:tc>
                <w:tcPr>
                  <w:tcW w:w="1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jc w:val="center"/>
                    <w:rPr>
                      <w:rFonts w:ascii="Verdana" w:eastAsia="Times New Roman" w:hAnsi="Verdana"/>
                      <w:sz w:val="18"/>
                      <w:szCs w:val="18"/>
                    </w:rPr>
                  </w:pPr>
                  <w:r>
                    <w:rPr>
                      <w:rFonts w:ascii="Verdana" w:eastAsia="Times New Roman" w:hAnsi="Verdana"/>
                      <w:b/>
                      <w:bCs/>
                      <w:noProof/>
                      <w:color w:val="000000"/>
                      <w:sz w:val="18"/>
                      <w:szCs w:val="18"/>
                    </w:rPr>
                    <w:drawing>
                      <wp:inline distT="0" distB="0" distL="0" distR="0" wp14:anchorId="5DCC077B" wp14:editId="7747DEAF">
                        <wp:extent cx="390525" cy="161925"/>
                        <wp:effectExtent l="19050" t="0" r="9525" b="0"/>
                        <wp:docPr id="8" name="Picture 2" descr="This candidate is enrolled in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andidate is enrolled in RES."/>
                                <pic:cNvPicPr>
                                  <a:picLocks noChangeAspect="1" noChangeArrowheads="1"/>
                                </pic:cNvPicPr>
                              </pic:nvPicPr>
                              <pic:blipFill>
                                <a:blip r:embed="rId10"/>
                                <a:srcRect/>
                                <a:stretch>
                                  <a:fillRect/>
                                </a:stretch>
                              </pic:blipFill>
                              <pic:spPr bwMode="auto">
                                <a:xfrm>
                                  <a:off x="0" y="0"/>
                                  <a:ext cx="390525" cy="161925"/>
                                </a:xfrm>
                                <a:prstGeom prst="rect">
                                  <a:avLst/>
                                </a:prstGeom>
                                <a:noFill/>
                                <a:ln w="9525">
                                  <a:noFill/>
                                  <a:miter lim="800000"/>
                                  <a:headEnd/>
                                  <a:tailEnd/>
                                </a:ln>
                              </pic:spPr>
                            </pic:pic>
                          </a:graphicData>
                        </a:graphic>
                      </wp:inline>
                    </w:drawing>
                  </w:r>
                </w:p>
              </w:tc>
              <w:tc>
                <w:tcPr>
                  <w:tcW w:w="4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rPr>
                      <w:rFonts w:ascii="Verdana" w:eastAsia="Times New Roman" w:hAnsi="Verdana"/>
                      <w:sz w:val="18"/>
                      <w:szCs w:val="18"/>
                    </w:rPr>
                  </w:pPr>
                  <w:r w:rsidRPr="00394386">
                    <w:rPr>
                      <w:rFonts w:ascii="Verdana" w:eastAsia="Times New Roman" w:hAnsi="Verdana"/>
                      <w:color w:val="000000"/>
                      <w:sz w:val="18"/>
                    </w:rPr>
                    <w:t>Reemployment Services Participant</w:t>
                  </w:r>
                </w:p>
              </w:tc>
            </w:tr>
            <w:tr w:rsidR="00394386" w:rsidRPr="00394386" w:rsidTr="00394386">
              <w:trPr>
                <w:tblCellSpacing w:w="0" w:type="dxa"/>
              </w:trPr>
              <w:tc>
                <w:tcPr>
                  <w:tcW w:w="1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jc w:val="center"/>
                    <w:rPr>
                      <w:rFonts w:ascii="Verdana" w:eastAsia="Times New Roman" w:hAnsi="Verdana"/>
                      <w:sz w:val="18"/>
                      <w:szCs w:val="18"/>
                    </w:rPr>
                  </w:pPr>
                  <w:r>
                    <w:rPr>
                      <w:rFonts w:ascii="Verdana" w:eastAsia="Times New Roman" w:hAnsi="Verdana"/>
                      <w:b/>
                      <w:bCs/>
                      <w:noProof/>
                      <w:color w:val="000000"/>
                      <w:sz w:val="18"/>
                      <w:szCs w:val="18"/>
                    </w:rPr>
                    <w:drawing>
                      <wp:inline distT="0" distB="0" distL="0" distR="0" wp14:anchorId="1B36DA16" wp14:editId="225930DF">
                        <wp:extent cx="238125" cy="161925"/>
                        <wp:effectExtent l="19050" t="0" r="9525" b="0"/>
                        <wp:docPr id="9" name="Picture 3" descr="This candidate is a vete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andidate is a veteran."/>
                                <pic:cNvPicPr>
                                  <a:picLocks noChangeAspect="1" noChangeArrowheads="1"/>
                                </pic:cNvPicPr>
                              </pic:nvPicPr>
                              <pic:blipFill>
                                <a:blip r:embed="rId11"/>
                                <a:srcRect/>
                                <a:stretch>
                                  <a:fillRect/>
                                </a:stretch>
                              </pic:blipFill>
                              <pic:spPr bwMode="auto">
                                <a:xfrm>
                                  <a:off x="0" y="0"/>
                                  <a:ext cx="238125" cy="161925"/>
                                </a:xfrm>
                                <a:prstGeom prst="rect">
                                  <a:avLst/>
                                </a:prstGeom>
                                <a:noFill/>
                                <a:ln w="9525">
                                  <a:noFill/>
                                  <a:miter lim="800000"/>
                                  <a:headEnd/>
                                  <a:tailEnd/>
                                </a:ln>
                              </pic:spPr>
                            </pic:pic>
                          </a:graphicData>
                        </a:graphic>
                      </wp:inline>
                    </w:drawing>
                  </w:r>
                </w:p>
              </w:tc>
              <w:tc>
                <w:tcPr>
                  <w:tcW w:w="4000" w:type="pct"/>
                  <w:tcBorders>
                    <w:bottom w:val="single" w:sz="6" w:space="0" w:color="CCCCCC"/>
                  </w:tcBorders>
                  <w:vAlign w:val="center"/>
                  <w:hideMark/>
                </w:tcPr>
                <w:p w:rsidR="00394386" w:rsidRPr="00394386" w:rsidRDefault="00394386" w:rsidP="00394386">
                  <w:pPr>
                    <w:spacing w:before="0" w:beforeAutospacing="0" w:after="0" w:afterAutospacing="0"/>
                    <w:ind w:left="0" w:firstLine="0"/>
                    <w:rPr>
                      <w:rFonts w:ascii="Verdana" w:eastAsia="Times New Roman" w:hAnsi="Verdana"/>
                      <w:sz w:val="18"/>
                      <w:szCs w:val="18"/>
                    </w:rPr>
                  </w:pPr>
                  <w:r w:rsidRPr="00394386">
                    <w:rPr>
                      <w:rFonts w:ascii="Verdana" w:eastAsia="Times New Roman" w:hAnsi="Verdana"/>
                      <w:color w:val="000000"/>
                      <w:sz w:val="18"/>
                    </w:rPr>
                    <w:t>Veteran</w:t>
                  </w:r>
                </w:p>
              </w:tc>
            </w:tr>
          </w:tbl>
          <w:p w:rsidR="00394386" w:rsidRDefault="00394386" w:rsidP="00F56044">
            <w:pPr>
              <w:pStyle w:val="NoSpacing"/>
              <w:ind w:left="0" w:firstLine="0"/>
            </w:pPr>
          </w:p>
          <w:p w:rsidR="00394386" w:rsidRPr="008D3A31" w:rsidRDefault="00394386" w:rsidP="00394386">
            <w:pPr>
              <w:pStyle w:val="NoSpacing"/>
              <w:ind w:left="0" w:firstLine="0"/>
            </w:pPr>
            <w:r>
              <w:t xml:space="preserve">From “Potential Matches” page, click on “broaden your search” if desired number of resumes do not appear. The search can be broadened up to six times. The desired number of resumes is the number of referrals the employer desires for this job order. </w:t>
            </w:r>
            <w:r w:rsidR="00120000">
              <w:t>This information can be found by clicking on the “job title” and scrolling to the bottom of the job information page under section “staff options”.</w:t>
            </w:r>
          </w:p>
        </w:tc>
        <w:tc>
          <w:tcPr>
            <w:tcW w:w="1297" w:type="dxa"/>
          </w:tcPr>
          <w:p w:rsidR="00D22A1D" w:rsidRDefault="00D22A1D" w:rsidP="00B32D7D">
            <w:pPr>
              <w:ind w:hanging="804"/>
              <w:jc w:val="center"/>
            </w:pPr>
          </w:p>
          <w:p w:rsidR="00D22A1D" w:rsidRDefault="00D22A1D" w:rsidP="00B32D7D">
            <w:pPr>
              <w:ind w:hanging="804"/>
              <w:jc w:val="center"/>
            </w:pPr>
          </w:p>
          <w:p w:rsidR="00D22A1D" w:rsidRDefault="00D22A1D" w:rsidP="00B32D7D">
            <w:pPr>
              <w:ind w:hanging="804"/>
              <w:jc w:val="center"/>
            </w:pPr>
          </w:p>
          <w:p w:rsidR="000E3D7A" w:rsidRPr="008D3A31" w:rsidRDefault="005234A2" w:rsidP="00B32D7D">
            <w:pPr>
              <w:ind w:hanging="804"/>
              <w:jc w:val="center"/>
            </w:pPr>
            <w:r w:rsidRPr="008D3A31">
              <w:t>One Stop</w:t>
            </w:r>
          </w:p>
          <w:p w:rsidR="0030469F" w:rsidRPr="00980A5C" w:rsidRDefault="0030469F" w:rsidP="00B32D7D">
            <w:pPr>
              <w:ind w:hanging="804"/>
              <w:jc w:val="center"/>
            </w:pPr>
          </w:p>
        </w:tc>
      </w:tr>
      <w:tr w:rsidR="003A56ED" w:rsidRPr="008D3A31" w:rsidTr="00B32D7D">
        <w:tc>
          <w:tcPr>
            <w:tcW w:w="0" w:type="auto"/>
          </w:tcPr>
          <w:p w:rsidR="003A56ED" w:rsidRDefault="003A56ED" w:rsidP="003A56ED">
            <w:pPr>
              <w:pStyle w:val="ListParagraph"/>
              <w:numPr>
                <w:ilvl w:val="0"/>
                <w:numId w:val="4"/>
              </w:numPr>
              <w:spacing w:after="0"/>
            </w:pPr>
            <w:r>
              <w:rPr>
                <w:b/>
              </w:rPr>
              <w:lastRenderedPageBreak/>
              <w:t>Perform an occupation</w:t>
            </w:r>
            <w:r w:rsidRPr="0017308E">
              <w:rPr>
                <w:b/>
              </w:rPr>
              <w:t xml:space="preserve"> search in DJL. Is only performed after step 1, if desired results are not obtained.</w:t>
            </w:r>
          </w:p>
          <w:p w:rsidR="003A56ED" w:rsidRPr="008D3A31" w:rsidRDefault="003A56ED" w:rsidP="007963F9">
            <w:pPr>
              <w:spacing w:after="0"/>
            </w:pPr>
          </w:p>
        </w:tc>
        <w:tc>
          <w:tcPr>
            <w:tcW w:w="4518" w:type="dxa"/>
          </w:tcPr>
          <w:p w:rsidR="003A56ED" w:rsidRDefault="003A56ED" w:rsidP="007963F9">
            <w:pPr>
              <w:ind w:left="0" w:firstLine="0"/>
            </w:pPr>
            <w:r>
              <w:t xml:space="preserve">From DJL main page, click on “Resume Search” on the left side of page. </w:t>
            </w:r>
          </w:p>
          <w:p w:rsidR="003A56ED" w:rsidRDefault="003A56ED" w:rsidP="007963F9">
            <w:pPr>
              <w:ind w:left="0" w:firstLine="0"/>
            </w:pPr>
            <w:r>
              <w:t xml:space="preserve">From “Delaware JobLink Resume Search” page, click on ”Search by type of job”. </w:t>
            </w:r>
          </w:p>
          <w:p w:rsidR="003A56ED" w:rsidRDefault="003A56ED" w:rsidP="007963F9">
            <w:pPr>
              <w:ind w:left="0" w:firstLine="0"/>
            </w:pPr>
            <w:r>
              <w:t>Enter “Keywords” for the resume search. This should be a few words describing the resume</w:t>
            </w:r>
            <w:r w:rsidR="00BB732D">
              <w:t xml:space="preserve"> you are searching for</w:t>
            </w:r>
            <w:r>
              <w:t xml:space="preserve"> </w:t>
            </w:r>
            <w:r w:rsidR="00BB732D">
              <w:t>(by occupation)</w:t>
            </w:r>
            <w:r>
              <w:t xml:space="preserve">. Such as Carpenter or Construction. </w:t>
            </w:r>
          </w:p>
          <w:p w:rsidR="003A56ED" w:rsidRDefault="003A56ED" w:rsidP="007963F9">
            <w:pPr>
              <w:ind w:left="0" w:firstLine="0"/>
            </w:pPr>
            <w:r>
              <w:t xml:space="preserve">Then scroll to the bottom of page and click on “search”.  </w:t>
            </w:r>
          </w:p>
          <w:p w:rsidR="003A56ED" w:rsidRDefault="003A56ED" w:rsidP="003A56ED">
            <w:pPr>
              <w:ind w:left="0" w:firstLine="0"/>
            </w:pPr>
            <w:r>
              <w:t xml:space="preserve">Depending on the keyword you enter, you may need to narrow down your search on the next page. Once you find the appropriate occupational </w:t>
            </w:r>
            <w:r w:rsidR="00FD4CD4">
              <w:lastRenderedPageBreak/>
              <w:t>title</w:t>
            </w:r>
            <w:r>
              <w:t xml:space="preserve"> for the job you are searching for, click on ‘search’ to the right of the occupation. </w:t>
            </w:r>
          </w:p>
          <w:p w:rsidR="003A56ED" w:rsidRDefault="003A56ED" w:rsidP="003A56ED">
            <w:pPr>
              <w:ind w:left="0" w:firstLine="0"/>
            </w:pPr>
            <w:r>
              <w:t xml:space="preserve">You then can narrow down your search by completing additional fields on the set search parameters screen. </w:t>
            </w:r>
          </w:p>
          <w:p w:rsidR="00BB732D" w:rsidRDefault="00BB732D" w:rsidP="003A56ED">
            <w:pPr>
              <w:ind w:left="0" w:firstLine="0"/>
            </w:pPr>
            <w:r w:rsidRPr="00BB732D">
              <w:t xml:space="preserve">Then scroll to the bottom of page and click on “Show Candidates”.  </w:t>
            </w:r>
          </w:p>
          <w:p w:rsidR="00BB732D" w:rsidRDefault="00BB732D" w:rsidP="00BB732D">
            <w:pPr>
              <w:ind w:left="0" w:firstLine="0"/>
            </w:pPr>
            <w:r>
              <w:t xml:space="preserve">The search results will show matching resumes for job seekers who have experience or are seeking work in the occupation you have selected. They also are within any other parameters you entered on the parameters screen.  </w:t>
            </w:r>
          </w:p>
          <w:p w:rsidR="00BB732D" w:rsidRPr="0070577B" w:rsidRDefault="00BB732D" w:rsidP="003A56ED">
            <w:pPr>
              <w:ind w:left="0" w:firstLine="0"/>
            </w:pPr>
            <w:r>
              <w:t>If the desired number of resumes is not generated through this search, scroll to the bottom of the page and click on, “Modify Search” and enter different parameters or search by a similar but different occupation.</w:t>
            </w:r>
          </w:p>
        </w:tc>
        <w:tc>
          <w:tcPr>
            <w:tcW w:w="1297" w:type="dxa"/>
          </w:tcPr>
          <w:p w:rsidR="003A56ED" w:rsidRDefault="003A56ED" w:rsidP="00B32D7D">
            <w:pPr>
              <w:ind w:hanging="804"/>
              <w:jc w:val="center"/>
            </w:pPr>
          </w:p>
          <w:p w:rsidR="003A56ED" w:rsidRDefault="003A56ED" w:rsidP="00B32D7D">
            <w:pPr>
              <w:ind w:hanging="804"/>
              <w:jc w:val="center"/>
            </w:pPr>
          </w:p>
          <w:p w:rsidR="003A56ED" w:rsidRDefault="003A56ED" w:rsidP="00B32D7D">
            <w:pPr>
              <w:ind w:hanging="804"/>
              <w:jc w:val="center"/>
            </w:pPr>
          </w:p>
          <w:p w:rsidR="003A56ED" w:rsidRPr="008D3A31" w:rsidRDefault="003A56ED" w:rsidP="00B32D7D">
            <w:pPr>
              <w:ind w:hanging="804"/>
              <w:jc w:val="center"/>
            </w:pPr>
            <w:r w:rsidRPr="008D3A31">
              <w:t>One Stop</w:t>
            </w:r>
          </w:p>
          <w:p w:rsidR="003A56ED" w:rsidRPr="008D3A31" w:rsidRDefault="003A56ED" w:rsidP="00B32D7D">
            <w:pPr>
              <w:ind w:hanging="804"/>
              <w:jc w:val="center"/>
              <w:rPr>
                <w:b/>
              </w:rPr>
            </w:pPr>
          </w:p>
        </w:tc>
      </w:tr>
      <w:tr w:rsidR="003A56ED" w:rsidRPr="008D3A31" w:rsidTr="00B32D7D">
        <w:trPr>
          <w:trHeight w:val="864"/>
        </w:trPr>
        <w:tc>
          <w:tcPr>
            <w:tcW w:w="0" w:type="auto"/>
          </w:tcPr>
          <w:p w:rsidR="003A56ED" w:rsidRDefault="003A56ED" w:rsidP="003A56ED">
            <w:pPr>
              <w:pStyle w:val="ListParagraph"/>
              <w:numPr>
                <w:ilvl w:val="0"/>
                <w:numId w:val="4"/>
              </w:numPr>
              <w:spacing w:after="0"/>
            </w:pPr>
            <w:r w:rsidRPr="0017308E">
              <w:rPr>
                <w:b/>
              </w:rPr>
              <w:lastRenderedPageBreak/>
              <w:t>Perform a quick</w:t>
            </w:r>
            <w:r>
              <w:rPr>
                <w:b/>
              </w:rPr>
              <w:t xml:space="preserve"> resume</w:t>
            </w:r>
            <w:r w:rsidRPr="0017308E">
              <w:rPr>
                <w:b/>
              </w:rPr>
              <w:t xml:space="preserve"> search in DJL. Is only performed after step 1, if desired results are not obtained.</w:t>
            </w:r>
          </w:p>
          <w:p w:rsidR="003A56ED" w:rsidRPr="008D3A31" w:rsidRDefault="003A56ED" w:rsidP="007963F9">
            <w:pPr>
              <w:spacing w:after="0"/>
            </w:pPr>
          </w:p>
        </w:tc>
        <w:tc>
          <w:tcPr>
            <w:tcW w:w="4518" w:type="dxa"/>
          </w:tcPr>
          <w:p w:rsidR="003A56ED" w:rsidRDefault="003A56ED" w:rsidP="007963F9">
            <w:pPr>
              <w:ind w:left="0" w:firstLine="0"/>
            </w:pPr>
            <w:r>
              <w:t xml:space="preserve">From DJL main page, click on “Resume Search” on the left side of page. </w:t>
            </w:r>
          </w:p>
          <w:p w:rsidR="003A56ED" w:rsidRDefault="003A56ED" w:rsidP="007963F9">
            <w:pPr>
              <w:ind w:left="0" w:firstLine="0"/>
            </w:pPr>
            <w:r>
              <w:t xml:space="preserve">From “Delaware JobLink Resume Search” page, click </w:t>
            </w:r>
            <w:r w:rsidR="00BB732D">
              <w:t>on “Search</w:t>
            </w:r>
            <w:r>
              <w:t xml:space="preserve"> All Resumes”. </w:t>
            </w:r>
          </w:p>
          <w:p w:rsidR="003A56ED" w:rsidRDefault="003A56ED" w:rsidP="007963F9">
            <w:pPr>
              <w:ind w:left="0" w:firstLine="0"/>
            </w:pPr>
            <w:r>
              <w:t xml:space="preserve">Set the search parameters; Enter “Keywords” for the resume search. This should be a few words describing the resume search. Such as Carpenter or Construction. Enter zip code which the job is located in for “Job Location”. If the job has specific requirements such as Commercial </w:t>
            </w:r>
            <w:r w:rsidR="00BB732D">
              <w:t>Driver’s</w:t>
            </w:r>
            <w:r>
              <w:t xml:space="preserve"> license, it should be indicated on this screen. </w:t>
            </w:r>
          </w:p>
          <w:p w:rsidR="003A56ED" w:rsidRDefault="003A56ED" w:rsidP="007963F9">
            <w:pPr>
              <w:ind w:left="0" w:firstLine="0"/>
            </w:pPr>
            <w:r>
              <w:t xml:space="preserve">Then scroll to the bottom of page and click on “Show Candidates”.  </w:t>
            </w:r>
          </w:p>
          <w:p w:rsidR="003A56ED" w:rsidRDefault="003A56ED" w:rsidP="007963F9">
            <w:pPr>
              <w:ind w:left="0" w:firstLine="0"/>
            </w:pPr>
            <w:r>
              <w:t xml:space="preserve">The search results will show matching resumes for job seekers who have indicated they prefer to work in that location. </w:t>
            </w:r>
          </w:p>
          <w:p w:rsidR="003A56ED" w:rsidRDefault="003A56ED" w:rsidP="007963F9">
            <w:pPr>
              <w:ind w:left="0" w:firstLine="0"/>
            </w:pPr>
            <w:r>
              <w:lastRenderedPageBreak/>
              <w:t xml:space="preserve">If the desired number of referrals is not generated through this search, scroll to the bottom of the page and click on, “Modify Search” and type in other “Keywords” which reflect the experience or skills the employer is looking for. </w:t>
            </w:r>
          </w:p>
          <w:p w:rsidR="003A56ED" w:rsidRPr="0070577B" w:rsidRDefault="003A56ED" w:rsidP="007963F9">
            <w:pPr>
              <w:ind w:left="0" w:firstLine="0"/>
            </w:pPr>
          </w:p>
        </w:tc>
        <w:tc>
          <w:tcPr>
            <w:tcW w:w="1297" w:type="dxa"/>
          </w:tcPr>
          <w:p w:rsidR="003A56ED" w:rsidRPr="00697471" w:rsidRDefault="003A56ED" w:rsidP="00F36519">
            <w:pPr>
              <w:spacing w:after="0"/>
              <w:ind w:hanging="804"/>
              <w:jc w:val="center"/>
            </w:pPr>
          </w:p>
        </w:tc>
      </w:tr>
    </w:tbl>
    <w:p w:rsidR="00504E93" w:rsidRDefault="00504E93" w:rsidP="00504E93">
      <w:pPr>
        <w:spacing w:after="120"/>
        <w:ind w:left="360" w:firstLine="0"/>
      </w:pPr>
      <w:r w:rsidRPr="00ED79D5">
        <w:rPr>
          <w:b/>
        </w:rPr>
        <w:lastRenderedPageBreak/>
        <w:t>Veteran’s Priority of Service:  Jobs and Resumes.</w:t>
      </w:r>
      <w:r w:rsidRPr="00ED79D5">
        <w:t xml:space="preserve">  </w:t>
      </w:r>
    </w:p>
    <w:p w:rsidR="00857E01" w:rsidRDefault="00504E93" w:rsidP="00504E93">
      <w:pPr>
        <w:spacing w:after="120"/>
        <w:ind w:left="360" w:firstLine="0"/>
      </w:pPr>
      <w:r w:rsidRPr="00ED79D5">
        <w:t xml:space="preserve">Both job and resume searches are now coded for Veteran’ Priority of Service (VPOS).  </w:t>
      </w:r>
      <w:r w:rsidRPr="00857E01">
        <w:rPr>
          <w:b/>
        </w:rPr>
        <w:t>Employers/jobseekers</w:t>
      </w:r>
      <w:r w:rsidRPr="00ED79D5">
        <w:t xml:space="preserve"> may not be able to find brand new job orders/resumes right away.  Non-Covered Persons have a two-day delay on new job orders.  Covered Persons have a one-day delay.  Covered Veterans and Other </w:t>
      </w:r>
      <w:r w:rsidR="00BB732D" w:rsidRPr="00ED79D5">
        <w:t>Eligible’s</w:t>
      </w:r>
      <w:r w:rsidRPr="00ED79D5">
        <w:t xml:space="preserve"> see job orders and resumes the same day.  </w:t>
      </w:r>
    </w:p>
    <w:p w:rsidR="00504E93" w:rsidRPr="00ED79D5" w:rsidRDefault="00504E93" w:rsidP="00504E93">
      <w:pPr>
        <w:spacing w:after="120"/>
        <w:ind w:left="360" w:firstLine="0"/>
      </w:pPr>
      <w:r w:rsidRPr="00ED79D5">
        <w:t xml:space="preserve">On the resume side, only resumes of Covered Veterans and Other </w:t>
      </w:r>
      <w:r w:rsidR="00BB732D" w:rsidRPr="00ED79D5">
        <w:t>Eligible’s</w:t>
      </w:r>
      <w:r w:rsidRPr="00ED79D5">
        <w:t xml:space="preserve"> show to </w:t>
      </w:r>
      <w:r w:rsidRPr="00857E01">
        <w:rPr>
          <w:b/>
        </w:rPr>
        <w:t>self-service employers</w:t>
      </w:r>
      <w:r w:rsidRPr="00ED79D5">
        <w:t xml:space="preserve"> the same day.  Covered Persons appear the next day.  Non-Covered Persons display in two days.  This delay is also integrated into the batch email (Email Alerts).  Similarly, anonymous searching (quick searches before logging in) are treated the same as non-vet searches.</w:t>
      </w:r>
    </w:p>
    <w:p w:rsidR="005A2840" w:rsidRPr="008B07DA" w:rsidRDefault="005A2840" w:rsidP="004611AB">
      <w:pPr>
        <w:ind w:left="0" w:firstLine="0"/>
      </w:pPr>
    </w:p>
    <w:sectPr w:rsidR="005A2840" w:rsidRPr="008B07DA" w:rsidSect="00A7244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92" w:rsidRDefault="00142892" w:rsidP="005A5A24">
      <w:pPr>
        <w:spacing w:before="0" w:after="0"/>
      </w:pPr>
      <w:r>
        <w:separator/>
      </w:r>
    </w:p>
  </w:endnote>
  <w:endnote w:type="continuationSeparator" w:id="0">
    <w:p w:rsidR="00142892" w:rsidRDefault="00142892" w:rsidP="005A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06" w:rsidRDefault="00846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D" w:rsidRDefault="00E3766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Issued 4/5/2011</w:t>
    </w:r>
    <w:r w:rsidR="00846F06">
      <w:rPr>
        <w:rFonts w:asciiTheme="majorHAnsi" w:eastAsiaTheme="majorEastAsia" w:hAnsiTheme="majorHAnsi" w:cstheme="majorBidi"/>
      </w:rPr>
      <w:t>, revised 10/29/2013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308E4" w:rsidRPr="00D308E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42892" w:rsidRDefault="00142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06" w:rsidRDefault="00846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92" w:rsidRDefault="00142892" w:rsidP="005A5A24">
      <w:pPr>
        <w:spacing w:before="0" w:after="0"/>
      </w:pPr>
      <w:r>
        <w:separator/>
      </w:r>
    </w:p>
  </w:footnote>
  <w:footnote w:type="continuationSeparator" w:id="0">
    <w:p w:rsidR="00142892" w:rsidRDefault="00142892" w:rsidP="005A5A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06" w:rsidRDefault="00846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92" w:rsidRDefault="00142892" w:rsidP="00D6166E">
    <w:pPr>
      <w:pStyle w:val="Header"/>
      <w:spacing w:beforeAutospacing="0" w:afterAutospacing="0"/>
      <w:ind w:left="0" w:firstLine="0"/>
      <w:jc w:val="center"/>
      <w:rPr>
        <w:sz w:val="28"/>
        <w:szCs w:val="28"/>
      </w:rPr>
    </w:pPr>
    <w:r w:rsidRPr="00087382">
      <w:rPr>
        <w:sz w:val="28"/>
        <w:szCs w:val="28"/>
      </w:rPr>
      <w:t>Employment Services (Labor Exchange)</w:t>
    </w:r>
  </w:p>
  <w:p w:rsidR="00142892" w:rsidRPr="00087382" w:rsidRDefault="00142892" w:rsidP="00D6166E">
    <w:pPr>
      <w:pStyle w:val="Header"/>
      <w:spacing w:beforeAutospacing="0" w:afterAutospacing="0"/>
      <w:jc w:val="center"/>
      <w:rPr>
        <w:sz w:val="28"/>
        <w:szCs w:val="28"/>
      </w:rPr>
    </w:pPr>
    <w:r>
      <w:rPr>
        <w:sz w:val="28"/>
        <w:szCs w:val="28"/>
      </w:rPr>
      <w:t>Service Delivery Process Policy</w:t>
    </w:r>
  </w:p>
  <w:p w:rsidR="00142892" w:rsidRDefault="00142892" w:rsidP="00D6166E">
    <w:pPr>
      <w:pStyle w:val="Header"/>
      <w:spacing w:beforeAutospacing="0" w:afterAutospacing="0"/>
      <w:jc w:val="center"/>
      <w:rPr>
        <w:sz w:val="28"/>
        <w:szCs w:val="28"/>
      </w:rPr>
    </w:pPr>
    <w:r>
      <w:rPr>
        <w:sz w:val="28"/>
        <w:szCs w:val="28"/>
      </w:rPr>
      <w:t>LE Policy 1</w:t>
    </w:r>
    <w:r w:rsidR="003F600F">
      <w:rPr>
        <w:sz w:val="28"/>
        <w:szCs w:val="28"/>
      </w:rPr>
      <w:t>7</w:t>
    </w:r>
    <w:r>
      <w:rPr>
        <w:sz w:val="28"/>
        <w:szCs w:val="28"/>
      </w:rPr>
      <w:t>-How to conduct a Resume Search</w:t>
    </w:r>
    <w:r w:rsidR="003A56ED">
      <w:rPr>
        <w:sz w:val="28"/>
        <w:szCs w:val="28"/>
      </w:rPr>
      <w:t>-updated 10/29/2013</w:t>
    </w:r>
  </w:p>
  <w:p w:rsidR="00142892" w:rsidRPr="00D6166E" w:rsidRDefault="00142892" w:rsidP="00D6166E">
    <w:pPr>
      <w:pStyle w:val="Header"/>
      <w:spacing w:beforeAutospacing="0" w:afterAutospacing="0"/>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06" w:rsidRDefault="00846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D03"/>
    <w:multiLevelType w:val="hybridMultilevel"/>
    <w:tmpl w:val="69601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10675"/>
    <w:multiLevelType w:val="hybridMultilevel"/>
    <w:tmpl w:val="BF5E0B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F6C0C"/>
    <w:multiLevelType w:val="hybridMultilevel"/>
    <w:tmpl w:val="3572E4C0"/>
    <w:lvl w:ilvl="0" w:tplc="22D0D6E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C207C5"/>
    <w:multiLevelType w:val="hybridMultilevel"/>
    <w:tmpl w:val="52BA1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7A"/>
    <w:rsid w:val="0000541B"/>
    <w:rsid w:val="000247FC"/>
    <w:rsid w:val="0002522E"/>
    <w:rsid w:val="000253E0"/>
    <w:rsid w:val="000435E9"/>
    <w:rsid w:val="0004368E"/>
    <w:rsid w:val="000741C0"/>
    <w:rsid w:val="00085105"/>
    <w:rsid w:val="000A7B53"/>
    <w:rsid w:val="000C03FB"/>
    <w:rsid w:val="000C12FD"/>
    <w:rsid w:val="000C2F8E"/>
    <w:rsid w:val="000E3D7A"/>
    <w:rsid w:val="00106C50"/>
    <w:rsid w:val="00120000"/>
    <w:rsid w:val="00140D9B"/>
    <w:rsid w:val="00142892"/>
    <w:rsid w:val="00161F75"/>
    <w:rsid w:val="001620A5"/>
    <w:rsid w:val="001648CD"/>
    <w:rsid w:val="00166470"/>
    <w:rsid w:val="0017039D"/>
    <w:rsid w:val="00170873"/>
    <w:rsid w:val="001725A2"/>
    <w:rsid w:val="0017308E"/>
    <w:rsid w:val="00174066"/>
    <w:rsid w:val="00186D38"/>
    <w:rsid w:val="00190963"/>
    <w:rsid w:val="00196C4E"/>
    <w:rsid w:val="001A3F08"/>
    <w:rsid w:val="001A6015"/>
    <w:rsid w:val="001B7E12"/>
    <w:rsid w:val="001E6B2B"/>
    <w:rsid w:val="0020731E"/>
    <w:rsid w:val="00230921"/>
    <w:rsid w:val="00237C43"/>
    <w:rsid w:val="0025173F"/>
    <w:rsid w:val="002518B1"/>
    <w:rsid w:val="00251F81"/>
    <w:rsid w:val="002773F4"/>
    <w:rsid w:val="002924CA"/>
    <w:rsid w:val="002C0A69"/>
    <w:rsid w:val="002C1EA7"/>
    <w:rsid w:val="002C7E7E"/>
    <w:rsid w:val="002D50A3"/>
    <w:rsid w:val="002E0138"/>
    <w:rsid w:val="002E74AB"/>
    <w:rsid w:val="002F05DC"/>
    <w:rsid w:val="002F06E6"/>
    <w:rsid w:val="002F10B9"/>
    <w:rsid w:val="00300287"/>
    <w:rsid w:val="0030469F"/>
    <w:rsid w:val="00307305"/>
    <w:rsid w:val="003079AB"/>
    <w:rsid w:val="00321350"/>
    <w:rsid w:val="003279B8"/>
    <w:rsid w:val="00372E8A"/>
    <w:rsid w:val="0037439C"/>
    <w:rsid w:val="003825F7"/>
    <w:rsid w:val="00384361"/>
    <w:rsid w:val="00384575"/>
    <w:rsid w:val="00394386"/>
    <w:rsid w:val="003A41F4"/>
    <w:rsid w:val="003A56ED"/>
    <w:rsid w:val="003B0106"/>
    <w:rsid w:val="003B1B3A"/>
    <w:rsid w:val="003C0361"/>
    <w:rsid w:val="003D4B81"/>
    <w:rsid w:val="003F600F"/>
    <w:rsid w:val="00410AFA"/>
    <w:rsid w:val="0041624D"/>
    <w:rsid w:val="004239B9"/>
    <w:rsid w:val="004421E5"/>
    <w:rsid w:val="00442B9B"/>
    <w:rsid w:val="00442BD9"/>
    <w:rsid w:val="004441A5"/>
    <w:rsid w:val="00453A1C"/>
    <w:rsid w:val="00453C2B"/>
    <w:rsid w:val="00456557"/>
    <w:rsid w:val="004611AB"/>
    <w:rsid w:val="00464A15"/>
    <w:rsid w:val="00465F70"/>
    <w:rsid w:val="00467163"/>
    <w:rsid w:val="00467EAC"/>
    <w:rsid w:val="0048320C"/>
    <w:rsid w:val="004A1F5A"/>
    <w:rsid w:val="004A4F9F"/>
    <w:rsid w:val="004B5D58"/>
    <w:rsid w:val="004C6884"/>
    <w:rsid w:val="004E1039"/>
    <w:rsid w:val="004E4FA1"/>
    <w:rsid w:val="004E687E"/>
    <w:rsid w:val="004F138A"/>
    <w:rsid w:val="00504E93"/>
    <w:rsid w:val="00510301"/>
    <w:rsid w:val="00517A26"/>
    <w:rsid w:val="005234A2"/>
    <w:rsid w:val="0052363A"/>
    <w:rsid w:val="00536248"/>
    <w:rsid w:val="00537F92"/>
    <w:rsid w:val="00540F20"/>
    <w:rsid w:val="005410B0"/>
    <w:rsid w:val="00544E84"/>
    <w:rsid w:val="00550B70"/>
    <w:rsid w:val="00557B70"/>
    <w:rsid w:val="00570FAE"/>
    <w:rsid w:val="005968AE"/>
    <w:rsid w:val="005A114F"/>
    <w:rsid w:val="005A270E"/>
    <w:rsid w:val="005A2840"/>
    <w:rsid w:val="005A5A24"/>
    <w:rsid w:val="005C5200"/>
    <w:rsid w:val="005C74FE"/>
    <w:rsid w:val="005D46A6"/>
    <w:rsid w:val="005D6DA8"/>
    <w:rsid w:val="005E5BE9"/>
    <w:rsid w:val="005E65E9"/>
    <w:rsid w:val="005E725B"/>
    <w:rsid w:val="005F3A8A"/>
    <w:rsid w:val="005F51EB"/>
    <w:rsid w:val="00607901"/>
    <w:rsid w:val="00610763"/>
    <w:rsid w:val="00620E57"/>
    <w:rsid w:val="006369D3"/>
    <w:rsid w:val="00670ED5"/>
    <w:rsid w:val="00671FA4"/>
    <w:rsid w:val="00672759"/>
    <w:rsid w:val="00674AE4"/>
    <w:rsid w:val="006819F0"/>
    <w:rsid w:val="00697471"/>
    <w:rsid w:val="006A12A7"/>
    <w:rsid w:val="006A1C8E"/>
    <w:rsid w:val="006A38B0"/>
    <w:rsid w:val="006A6767"/>
    <w:rsid w:val="006A7DF6"/>
    <w:rsid w:val="006D0572"/>
    <w:rsid w:val="006D3C04"/>
    <w:rsid w:val="006E1C6C"/>
    <w:rsid w:val="006F2214"/>
    <w:rsid w:val="0070577B"/>
    <w:rsid w:val="00710EDE"/>
    <w:rsid w:val="0072776D"/>
    <w:rsid w:val="0073585F"/>
    <w:rsid w:val="00746A6A"/>
    <w:rsid w:val="0075154D"/>
    <w:rsid w:val="00752E39"/>
    <w:rsid w:val="00761223"/>
    <w:rsid w:val="00771B37"/>
    <w:rsid w:val="0079148F"/>
    <w:rsid w:val="007A39CC"/>
    <w:rsid w:val="007A4263"/>
    <w:rsid w:val="007A43A5"/>
    <w:rsid w:val="007A5E4A"/>
    <w:rsid w:val="007B02A2"/>
    <w:rsid w:val="007C3E8A"/>
    <w:rsid w:val="007C569F"/>
    <w:rsid w:val="007D4A3E"/>
    <w:rsid w:val="007F6B4D"/>
    <w:rsid w:val="007F744E"/>
    <w:rsid w:val="0082294D"/>
    <w:rsid w:val="00833907"/>
    <w:rsid w:val="00834816"/>
    <w:rsid w:val="00835D47"/>
    <w:rsid w:val="008462B4"/>
    <w:rsid w:val="00846F06"/>
    <w:rsid w:val="008537AA"/>
    <w:rsid w:val="00857E01"/>
    <w:rsid w:val="00873DA2"/>
    <w:rsid w:val="008A2A4F"/>
    <w:rsid w:val="008A7FB6"/>
    <w:rsid w:val="008B07DA"/>
    <w:rsid w:val="008C7047"/>
    <w:rsid w:val="008D3A31"/>
    <w:rsid w:val="008F16A5"/>
    <w:rsid w:val="008F747B"/>
    <w:rsid w:val="009023D3"/>
    <w:rsid w:val="00906990"/>
    <w:rsid w:val="00911277"/>
    <w:rsid w:val="00913E54"/>
    <w:rsid w:val="00941D85"/>
    <w:rsid w:val="009513FD"/>
    <w:rsid w:val="009646BA"/>
    <w:rsid w:val="0097153A"/>
    <w:rsid w:val="00980438"/>
    <w:rsid w:val="00980A5C"/>
    <w:rsid w:val="0098323C"/>
    <w:rsid w:val="0099167A"/>
    <w:rsid w:val="009966CF"/>
    <w:rsid w:val="009A0F3B"/>
    <w:rsid w:val="009B3E69"/>
    <w:rsid w:val="009D4338"/>
    <w:rsid w:val="009D6091"/>
    <w:rsid w:val="00A031FB"/>
    <w:rsid w:val="00A05F22"/>
    <w:rsid w:val="00A12594"/>
    <w:rsid w:val="00A140D4"/>
    <w:rsid w:val="00A20643"/>
    <w:rsid w:val="00A2081A"/>
    <w:rsid w:val="00A257BB"/>
    <w:rsid w:val="00A318CF"/>
    <w:rsid w:val="00A362D2"/>
    <w:rsid w:val="00A4235E"/>
    <w:rsid w:val="00A544B2"/>
    <w:rsid w:val="00A56668"/>
    <w:rsid w:val="00A7244F"/>
    <w:rsid w:val="00A7737C"/>
    <w:rsid w:val="00A81196"/>
    <w:rsid w:val="00A81D30"/>
    <w:rsid w:val="00A8480B"/>
    <w:rsid w:val="00A90B08"/>
    <w:rsid w:val="00A94EC7"/>
    <w:rsid w:val="00AC0CFF"/>
    <w:rsid w:val="00AC39B8"/>
    <w:rsid w:val="00AD2362"/>
    <w:rsid w:val="00AD5963"/>
    <w:rsid w:val="00AE4379"/>
    <w:rsid w:val="00B02B6A"/>
    <w:rsid w:val="00B2764C"/>
    <w:rsid w:val="00B27948"/>
    <w:rsid w:val="00B302D4"/>
    <w:rsid w:val="00B32D7D"/>
    <w:rsid w:val="00B32DBF"/>
    <w:rsid w:val="00B33DC5"/>
    <w:rsid w:val="00B348FB"/>
    <w:rsid w:val="00B36694"/>
    <w:rsid w:val="00B41359"/>
    <w:rsid w:val="00B5707C"/>
    <w:rsid w:val="00B624A4"/>
    <w:rsid w:val="00B65752"/>
    <w:rsid w:val="00B75506"/>
    <w:rsid w:val="00B764E8"/>
    <w:rsid w:val="00B77336"/>
    <w:rsid w:val="00B8523D"/>
    <w:rsid w:val="00B92D7F"/>
    <w:rsid w:val="00BA0425"/>
    <w:rsid w:val="00BB732D"/>
    <w:rsid w:val="00BC5C62"/>
    <w:rsid w:val="00BC7742"/>
    <w:rsid w:val="00BE1D66"/>
    <w:rsid w:val="00BE4E40"/>
    <w:rsid w:val="00BF6C5A"/>
    <w:rsid w:val="00BF7F12"/>
    <w:rsid w:val="00C2115D"/>
    <w:rsid w:val="00C27273"/>
    <w:rsid w:val="00C30483"/>
    <w:rsid w:val="00C337BD"/>
    <w:rsid w:val="00C34C24"/>
    <w:rsid w:val="00C36E19"/>
    <w:rsid w:val="00C44E70"/>
    <w:rsid w:val="00C90673"/>
    <w:rsid w:val="00C97185"/>
    <w:rsid w:val="00CD25A8"/>
    <w:rsid w:val="00CD2A55"/>
    <w:rsid w:val="00CE19A2"/>
    <w:rsid w:val="00D0291F"/>
    <w:rsid w:val="00D22A1D"/>
    <w:rsid w:val="00D24F45"/>
    <w:rsid w:val="00D25D3E"/>
    <w:rsid w:val="00D308E4"/>
    <w:rsid w:val="00D30F19"/>
    <w:rsid w:val="00D4144A"/>
    <w:rsid w:val="00D43D38"/>
    <w:rsid w:val="00D46248"/>
    <w:rsid w:val="00D46BC1"/>
    <w:rsid w:val="00D53C68"/>
    <w:rsid w:val="00D60117"/>
    <w:rsid w:val="00D6166E"/>
    <w:rsid w:val="00D71C02"/>
    <w:rsid w:val="00D779FD"/>
    <w:rsid w:val="00D9367B"/>
    <w:rsid w:val="00DB41DE"/>
    <w:rsid w:val="00DB6E84"/>
    <w:rsid w:val="00DC0B2C"/>
    <w:rsid w:val="00DD2974"/>
    <w:rsid w:val="00DD3A4B"/>
    <w:rsid w:val="00DD5A77"/>
    <w:rsid w:val="00DF61D2"/>
    <w:rsid w:val="00DF784E"/>
    <w:rsid w:val="00E0406F"/>
    <w:rsid w:val="00E167C1"/>
    <w:rsid w:val="00E27B78"/>
    <w:rsid w:val="00E324D8"/>
    <w:rsid w:val="00E325C5"/>
    <w:rsid w:val="00E3766D"/>
    <w:rsid w:val="00E46A0B"/>
    <w:rsid w:val="00E50FA7"/>
    <w:rsid w:val="00E75605"/>
    <w:rsid w:val="00E87DAB"/>
    <w:rsid w:val="00E92A0C"/>
    <w:rsid w:val="00E93D58"/>
    <w:rsid w:val="00E96417"/>
    <w:rsid w:val="00EA3E17"/>
    <w:rsid w:val="00EC032D"/>
    <w:rsid w:val="00EC5770"/>
    <w:rsid w:val="00ED1F5D"/>
    <w:rsid w:val="00ED3E24"/>
    <w:rsid w:val="00EE3479"/>
    <w:rsid w:val="00EE7370"/>
    <w:rsid w:val="00F103B3"/>
    <w:rsid w:val="00F24379"/>
    <w:rsid w:val="00F255BF"/>
    <w:rsid w:val="00F26260"/>
    <w:rsid w:val="00F35115"/>
    <w:rsid w:val="00F36519"/>
    <w:rsid w:val="00F45A90"/>
    <w:rsid w:val="00F52725"/>
    <w:rsid w:val="00F55617"/>
    <w:rsid w:val="00F56044"/>
    <w:rsid w:val="00F61411"/>
    <w:rsid w:val="00F633DB"/>
    <w:rsid w:val="00F76C3C"/>
    <w:rsid w:val="00F76D92"/>
    <w:rsid w:val="00F9442F"/>
    <w:rsid w:val="00FA09C4"/>
    <w:rsid w:val="00FA31A1"/>
    <w:rsid w:val="00FB36C5"/>
    <w:rsid w:val="00FB3E78"/>
    <w:rsid w:val="00FB3E95"/>
    <w:rsid w:val="00FB6511"/>
    <w:rsid w:val="00FC23BE"/>
    <w:rsid w:val="00FD3845"/>
    <w:rsid w:val="00FD4CD4"/>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customStyle="1" w:styleId="Default">
    <w:name w:val="Default"/>
    <w:rsid w:val="009513FD"/>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8B07DA"/>
    <w:pPr>
      <w:contextualSpacing/>
    </w:pPr>
  </w:style>
  <w:style w:type="character" w:customStyle="1" w:styleId="cfsearchtext1">
    <w:name w:val="cfsearchtext1"/>
    <w:basedOn w:val="DefaultParagraphFont"/>
    <w:rsid w:val="00394386"/>
    <w:rPr>
      <w:rFonts w:ascii="Verdana" w:hAnsi="Verdana"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Header">
    <w:name w:val="header"/>
    <w:basedOn w:val="Normal"/>
    <w:link w:val="HeaderChar"/>
    <w:uiPriority w:val="99"/>
    <w:unhideWhenUsed/>
    <w:rsid w:val="005A5A24"/>
    <w:pPr>
      <w:tabs>
        <w:tab w:val="center" w:pos="4680"/>
        <w:tab w:val="right" w:pos="9360"/>
      </w:tabs>
      <w:spacing w:before="0" w:after="0"/>
    </w:pPr>
  </w:style>
  <w:style w:type="character" w:customStyle="1" w:styleId="HeaderChar">
    <w:name w:val="Header Char"/>
    <w:basedOn w:val="DefaultParagraphFont"/>
    <w:link w:val="Header"/>
    <w:uiPriority w:val="99"/>
    <w:rsid w:val="005A5A24"/>
    <w:rPr>
      <w:sz w:val="22"/>
      <w:szCs w:val="22"/>
    </w:rPr>
  </w:style>
  <w:style w:type="paragraph" w:styleId="Footer">
    <w:name w:val="footer"/>
    <w:basedOn w:val="Normal"/>
    <w:link w:val="FooterChar"/>
    <w:uiPriority w:val="99"/>
    <w:unhideWhenUsed/>
    <w:rsid w:val="005A5A24"/>
    <w:pPr>
      <w:tabs>
        <w:tab w:val="center" w:pos="4680"/>
        <w:tab w:val="right" w:pos="9360"/>
      </w:tabs>
      <w:spacing w:before="0" w:after="0"/>
    </w:pPr>
  </w:style>
  <w:style w:type="character" w:customStyle="1" w:styleId="FooterChar">
    <w:name w:val="Footer Char"/>
    <w:basedOn w:val="DefaultParagraphFont"/>
    <w:link w:val="Footer"/>
    <w:uiPriority w:val="99"/>
    <w:rsid w:val="005A5A24"/>
    <w:rPr>
      <w:sz w:val="22"/>
      <w:szCs w:val="22"/>
    </w:rPr>
  </w:style>
  <w:style w:type="character" w:styleId="CommentReference">
    <w:name w:val="annotation reference"/>
    <w:basedOn w:val="DefaultParagraphFont"/>
    <w:uiPriority w:val="99"/>
    <w:semiHidden/>
    <w:unhideWhenUsed/>
    <w:rsid w:val="00D71C02"/>
    <w:rPr>
      <w:sz w:val="16"/>
      <w:szCs w:val="16"/>
    </w:rPr>
  </w:style>
  <w:style w:type="paragraph" w:styleId="CommentText">
    <w:name w:val="annotation text"/>
    <w:basedOn w:val="Normal"/>
    <w:link w:val="CommentTextChar"/>
    <w:uiPriority w:val="99"/>
    <w:semiHidden/>
    <w:unhideWhenUsed/>
    <w:rsid w:val="00D71C02"/>
    <w:rPr>
      <w:sz w:val="20"/>
      <w:szCs w:val="20"/>
    </w:rPr>
  </w:style>
  <w:style w:type="character" w:customStyle="1" w:styleId="CommentTextChar">
    <w:name w:val="Comment Text Char"/>
    <w:basedOn w:val="DefaultParagraphFont"/>
    <w:link w:val="CommentText"/>
    <w:uiPriority w:val="99"/>
    <w:semiHidden/>
    <w:rsid w:val="00D71C02"/>
  </w:style>
  <w:style w:type="paragraph" w:styleId="CommentSubject">
    <w:name w:val="annotation subject"/>
    <w:basedOn w:val="CommentText"/>
    <w:next w:val="CommentText"/>
    <w:link w:val="CommentSubjectChar"/>
    <w:uiPriority w:val="99"/>
    <w:semiHidden/>
    <w:unhideWhenUsed/>
    <w:rsid w:val="00D71C02"/>
    <w:rPr>
      <w:b/>
      <w:bCs/>
    </w:rPr>
  </w:style>
  <w:style w:type="character" w:customStyle="1" w:styleId="CommentSubjectChar">
    <w:name w:val="Comment Subject Char"/>
    <w:basedOn w:val="CommentTextChar"/>
    <w:link w:val="CommentSubject"/>
    <w:uiPriority w:val="99"/>
    <w:semiHidden/>
    <w:rsid w:val="00D71C02"/>
    <w:rPr>
      <w:b/>
      <w:bCs/>
    </w:rPr>
  </w:style>
  <w:style w:type="paragraph" w:customStyle="1" w:styleId="Default">
    <w:name w:val="Default"/>
    <w:rsid w:val="009513FD"/>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8B07DA"/>
    <w:pPr>
      <w:contextualSpacing/>
    </w:pPr>
  </w:style>
  <w:style w:type="character" w:customStyle="1" w:styleId="cfsearchtext1">
    <w:name w:val="cfsearchtext1"/>
    <w:basedOn w:val="DefaultParagraphFont"/>
    <w:rsid w:val="00394386"/>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92340">
      <w:bodyDiv w:val="1"/>
      <w:marLeft w:val="0"/>
      <w:marRight w:val="0"/>
      <w:marTop w:val="0"/>
      <w:marBottom w:val="0"/>
      <w:divBdr>
        <w:top w:val="none" w:sz="0" w:space="0" w:color="auto"/>
        <w:left w:val="none" w:sz="0" w:space="0" w:color="auto"/>
        <w:bottom w:val="none" w:sz="0" w:space="0" w:color="auto"/>
        <w:right w:val="none" w:sz="0" w:space="0" w:color="auto"/>
      </w:divBdr>
    </w:div>
    <w:div w:id="1568413992">
      <w:bodyDiv w:val="1"/>
      <w:marLeft w:val="0"/>
      <w:marRight w:val="0"/>
      <w:marTop w:val="0"/>
      <w:marBottom w:val="0"/>
      <w:divBdr>
        <w:top w:val="none" w:sz="0" w:space="0" w:color="auto"/>
        <w:left w:val="none" w:sz="0" w:space="0" w:color="auto"/>
        <w:bottom w:val="none" w:sz="0" w:space="0" w:color="auto"/>
        <w:right w:val="none" w:sz="0" w:space="0" w:color="auto"/>
      </w:divBdr>
      <w:divsChild>
        <w:div w:id="1305164863">
          <w:marLeft w:val="0"/>
          <w:marRight w:val="0"/>
          <w:marTop w:val="0"/>
          <w:marBottom w:val="0"/>
          <w:divBdr>
            <w:top w:val="none" w:sz="0" w:space="0" w:color="auto"/>
            <w:left w:val="none" w:sz="0" w:space="0" w:color="auto"/>
            <w:bottom w:val="none" w:sz="0" w:space="0" w:color="auto"/>
            <w:right w:val="none" w:sz="0" w:space="0" w:color="auto"/>
          </w:divBdr>
        </w:div>
      </w:divsChild>
    </w:div>
    <w:div w:id="20780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EEFE-506D-43CF-9113-C9AB26BA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ThomasM.Smith</dc:creator>
  <cp:lastModifiedBy>Laing, Stacey (DOL)</cp:lastModifiedBy>
  <cp:revision>2</cp:revision>
  <cp:lastPrinted>2013-10-29T19:11:00Z</cp:lastPrinted>
  <dcterms:created xsi:type="dcterms:W3CDTF">2013-11-01T18:58:00Z</dcterms:created>
  <dcterms:modified xsi:type="dcterms:W3CDTF">2013-11-01T18:58:00Z</dcterms:modified>
</cp:coreProperties>
</file>