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56FD" w14:textId="160FAF5E" w:rsidR="00CF0E3A" w:rsidRPr="005B3BF3" w:rsidRDefault="00CF0E3A" w:rsidP="0027353C">
      <w:pPr>
        <w:pStyle w:val="BodyText"/>
        <w:spacing w:before="1"/>
        <w:rPr>
          <w:rFonts w:ascii="Aptos" w:hAnsi="Aptos"/>
          <w:b/>
          <w:bCs/>
          <w:sz w:val="22"/>
          <w:szCs w:val="22"/>
        </w:rPr>
      </w:pPr>
      <w:r w:rsidRPr="005B3BF3">
        <w:rPr>
          <w:rFonts w:ascii="Aptos" w:hAnsi="Aptos"/>
          <w:b/>
          <w:bCs/>
          <w:sz w:val="22"/>
          <w:szCs w:val="22"/>
        </w:rPr>
        <w:t>Initial Application</w:t>
      </w:r>
      <w:r w:rsidR="0027353C" w:rsidRPr="005B3BF3">
        <w:rPr>
          <w:rFonts w:ascii="Aptos" w:hAnsi="Aptos"/>
          <w:b/>
          <w:bCs/>
          <w:sz w:val="22"/>
          <w:szCs w:val="22"/>
        </w:rPr>
        <w:t xml:space="preserve">: </w:t>
      </w:r>
      <w:r w:rsidRPr="005B3BF3">
        <w:rPr>
          <w:rFonts w:ascii="Aptos" w:hAnsi="Aptos"/>
          <w:b/>
          <w:bCs/>
          <w:sz w:val="22"/>
          <w:szCs w:val="22"/>
        </w:rPr>
        <w:t>Eligible Training Provider List</w:t>
      </w:r>
      <w:r w:rsidR="009B5E5F" w:rsidRPr="005B3BF3">
        <w:rPr>
          <w:rFonts w:ascii="Aptos" w:hAnsi="Aptos"/>
          <w:b/>
          <w:bCs/>
          <w:sz w:val="22"/>
          <w:szCs w:val="22"/>
        </w:rPr>
        <w:t>—</w:t>
      </w:r>
      <w:r w:rsidR="002841E6" w:rsidRPr="005B3BF3">
        <w:rPr>
          <w:rFonts w:ascii="Aptos" w:hAnsi="Aptos"/>
          <w:b/>
          <w:bCs/>
          <w:sz w:val="22"/>
          <w:szCs w:val="22"/>
        </w:rPr>
        <w:t xml:space="preserve">New </w:t>
      </w:r>
      <w:r w:rsidRPr="005B3BF3">
        <w:rPr>
          <w:rFonts w:ascii="Aptos" w:hAnsi="Aptos"/>
          <w:b/>
          <w:bCs/>
          <w:sz w:val="22"/>
          <w:szCs w:val="22"/>
        </w:rPr>
        <w:t>Application Requirements</w:t>
      </w:r>
    </w:p>
    <w:p w14:paraId="503B661C" w14:textId="0B84A565" w:rsidR="0027353C" w:rsidRPr="005B3BF3" w:rsidRDefault="0027353C" w:rsidP="006C217B">
      <w:pPr>
        <w:widowControl/>
        <w:shd w:val="clear" w:color="auto" w:fill="FFFFFF"/>
        <w:autoSpaceDE/>
        <w:autoSpaceDN/>
        <w:spacing w:before="100" w:beforeAutospacing="1" w:after="100" w:afterAutospacing="1"/>
        <w:rPr>
          <w:rFonts w:ascii="Aptos" w:hAnsi="Aptos"/>
          <w:b/>
          <w:bCs/>
          <w:color w:val="1B1B1B"/>
        </w:rPr>
      </w:pPr>
      <w:r w:rsidRPr="005B3BF3">
        <w:rPr>
          <w:rFonts w:ascii="Aptos" w:hAnsi="Aptos"/>
          <w:b/>
          <w:bCs/>
          <w:color w:val="1B1B1B"/>
        </w:rPr>
        <w:t xml:space="preserve">Introduction: </w:t>
      </w:r>
      <w:r w:rsidR="00B42284" w:rsidRPr="005B3BF3">
        <w:rPr>
          <w:rFonts w:ascii="Aptos" w:hAnsi="Aptos"/>
        </w:rPr>
        <w:t>To maximize customer choice and assure that all population groups are served, a comprehensive process must ensure that a significant number of qualified Eligible Training Providers (ETPs) are available to customers.</w:t>
      </w:r>
      <w:r w:rsidR="009B6E59" w:rsidRPr="005B3BF3">
        <w:rPr>
          <w:rFonts w:ascii="Aptos" w:hAnsi="Aptos"/>
        </w:rPr>
        <w:t xml:space="preserve"> Reference </w:t>
      </w:r>
      <w:r w:rsidR="009B6E59" w:rsidRPr="005B3BF3">
        <w:rPr>
          <w:rFonts w:ascii="Aptos" w:hAnsi="Aptos" w:cs="Open Sans"/>
          <w:color w:val="333333"/>
          <w:shd w:val="clear" w:color="auto" w:fill="FFFFFF"/>
        </w:rPr>
        <w:t xml:space="preserve">§ 680.450 and TEGL 41-14. </w:t>
      </w:r>
    </w:p>
    <w:p w14:paraId="50C31C9B" w14:textId="1BC70417" w:rsidR="0027353C" w:rsidRPr="005B3BF3" w:rsidRDefault="0027353C" w:rsidP="0086227F">
      <w:pPr>
        <w:widowControl/>
        <w:shd w:val="clear" w:color="auto" w:fill="FFFFFF"/>
        <w:autoSpaceDE/>
        <w:autoSpaceDN/>
        <w:spacing w:before="100" w:beforeAutospacing="1" w:after="100" w:afterAutospacing="1"/>
        <w:rPr>
          <w:rFonts w:ascii="Aptos" w:hAnsi="Aptos"/>
          <w:color w:val="1B1B1B"/>
        </w:rPr>
      </w:pPr>
      <w:r w:rsidRPr="005B3BF3">
        <w:rPr>
          <w:rFonts w:ascii="Aptos" w:hAnsi="Aptos"/>
          <w:b/>
          <w:bCs/>
          <w:color w:val="1B1B1B"/>
        </w:rPr>
        <w:t>Policy:</w:t>
      </w:r>
      <w:r w:rsidRPr="005B3BF3">
        <w:rPr>
          <w:rFonts w:ascii="Aptos" w:hAnsi="Aptos"/>
          <w:color w:val="1B1B1B"/>
        </w:rPr>
        <w:t xml:space="preserve"> </w:t>
      </w:r>
      <w:r w:rsidR="006C217B" w:rsidRPr="005B3BF3">
        <w:rPr>
          <w:rFonts w:ascii="Aptos" w:hAnsi="Aptos"/>
          <w:color w:val="1B1B1B"/>
        </w:rPr>
        <w:t>Prospective providers can submit applications anytime</w:t>
      </w:r>
      <w:r w:rsidR="009B5E5F" w:rsidRPr="005B3BF3">
        <w:rPr>
          <w:rFonts w:ascii="Aptos" w:hAnsi="Aptos"/>
          <w:color w:val="1B1B1B"/>
        </w:rPr>
        <w:t xml:space="preserve">; however, </w:t>
      </w:r>
      <w:r w:rsidR="006C217B" w:rsidRPr="005B3BF3">
        <w:rPr>
          <w:rFonts w:ascii="Aptos" w:hAnsi="Aptos"/>
          <w:color w:val="1B1B1B"/>
        </w:rPr>
        <w:t xml:space="preserve">only the Proposal Review and Certification Committee may recommend approval of a provider and its programs to the Executive Committee or </w:t>
      </w:r>
      <w:r w:rsidR="00EF06E0" w:rsidRPr="005B3BF3">
        <w:rPr>
          <w:rFonts w:ascii="Aptos" w:hAnsi="Aptos"/>
          <w:color w:val="1B1B1B"/>
        </w:rPr>
        <w:t>f</w:t>
      </w:r>
      <w:r w:rsidR="006C217B" w:rsidRPr="005B3BF3">
        <w:rPr>
          <w:rFonts w:ascii="Aptos" w:hAnsi="Aptos"/>
          <w:color w:val="1B1B1B"/>
        </w:rPr>
        <w:t xml:space="preserve">ull Board. </w:t>
      </w:r>
      <w:r w:rsidR="00C20C7A" w:rsidRPr="005B3BF3">
        <w:rPr>
          <w:rFonts w:ascii="Aptos" w:hAnsi="Aptos"/>
          <w:color w:val="1B1B1B"/>
        </w:rPr>
        <w:t xml:space="preserve">For the </w:t>
      </w:r>
      <w:r w:rsidRPr="005B3BF3">
        <w:rPr>
          <w:rFonts w:ascii="Aptos" w:hAnsi="Aptos"/>
          <w:color w:val="1B1B1B"/>
        </w:rPr>
        <w:t>initial eligibility screening</w:t>
      </w:r>
      <w:r w:rsidR="00C20C7A" w:rsidRPr="005B3BF3">
        <w:rPr>
          <w:rFonts w:ascii="Aptos" w:hAnsi="Aptos"/>
          <w:color w:val="1B1B1B"/>
        </w:rPr>
        <w:t xml:space="preserve">, DWDB staff shall complete of an </w:t>
      </w:r>
      <w:r w:rsidRPr="005B3BF3">
        <w:rPr>
          <w:rFonts w:ascii="Aptos" w:hAnsi="Aptos"/>
          <w:color w:val="1B1B1B"/>
        </w:rPr>
        <w:t>initial monitoring visit form. DWDB staff will make an onsite visit to the prospective provider</w:t>
      </w:r>
      <w:r w:rsidR="00C20C7A" w:rsidRPr="005B3BF3">
        <w:rPr>
          <w:rFonts w:ascii="Aptos" w:hAnsi="Aptos"/>
          <w:color w:val="1B1B1B"/>
        </w:rPr>
        <w:t>’</w:t>
      </w:r>
      <w:r w:rsidRPr="005B3BF3">
        <w:rPr>
          <w:rFonts w:ascii="Aptos" w:hAnsi="Aptos"/>
          <w:color w:val="1B1B1B"/>
        </w:rPr>
        <w:t>s training site</w:t>
      </w:r>
      <w:r w:rsidR="00C20C7A" w:rsidRPr="005B3BF3">
        <w:rPr>
          <w:rFonts w:ascii="Aptos" w:hAnsi="Aptos"/>
          <w:color w:val="1B1B1B"/>
        </w:rPr>
        <w:t xml:space="preserve"> to gather information for the form</w:t>
      </w:r>
      <w:r w:rsidRPr="005B3BF3">
        <w:rPr>
          <w:rFonts w:ascii="Aptos" w:hAnsi="Aptos"/>
          <w:color w:val="1B1B1B"/>
        </w:rPr>
        <w:t xml:space="preserve">. The visit will determine </w:t>
      </w:r>
      <w:r w:rsidR="00C20C7A" w:rsidRPr="005B3BF3">
        <w:rPr>
          <w:rFonts w:ascii="Aptos" w:hAnsi="Aptos"/>
          <w:color w:val="1B1B1B"/>
        </w:rPr>
        <w:t>whether</w:t>
      </w:r>
      <w:r w:rsidRPr="005B3BF3">
        <w:rPr>
          <w:rFonts w:ascii="Aptos" w:hAnsi="Aptos"/>
          <w:color w:val="1B1B1B"/>
        </w:rPr>
        <w:t xml:space="preserve"> the provider</w:t>
      </w:r>
      <w:r w:rsidR="00C20C7A" w:rsidRPr="005B3BF3">
        <w:rPr>
          <w:rFonts w:ascii="Aptos" w:hAnsi="Aptos"/>
          <w:color w:val="1B1B1B"/>
        </w:rPr>
        <w:t>’s</w:t>
      </w:r>
      <w:r w:rsidRPr="005B3BF3">
        <w:rPr>
          <w:rFonts w:ascii="Aptos" w:hAnsi="Aptos"/>
          <w:color w:val="1B1B1B"/>
        </w:rPr>
        <w:t xml:space="preserve"> facilities are adequate, </w:t>
      </w:r>
      <w:r w:rsidR="00C20C7A" w:rsidRPr="005B3BF3">
        <w:rPr>
          <w:rFonts w:ascii="Aptos" w:hAnsi="Aptos"/>
          <w:color w:val="1B1B1B"/>
        </w:rPr>
        <w:t xml:space="preserve">are </w:t>
      </w:r>
      <w:r w:rsidRPr="005B3BF3">
        <w:rPr>
          <w:rFonts w:ascii="Aptos" w:hAnsi="Aptos"/>
          <w:color w:val="1B1B1B"/>
        </w:rPr>
        <w:t xml:space="preserve">safe, </w:t>
      </w:r>
      <w:r w:rsidR="00CE7748" w:rsidRPr="005B3BF3">
        <w:rPr>
          <w:rFonts w:ascii="Aptos" w:hAnsi="Aptos"/>
          <w:color w:val="1B1B1B"/>
        </w:rPr>
        <w:t xml:space="preserve">are physically and programmatically accessible, </w:t>
      </w:r>
      <w:r w:rsidRPr="005B3BF3">
        <w:rPr>
          <w:rFonts w:ascii="Aptos" w:hAnsi="Aptos"/>
          <w:color w:val="1B1B1B"/>
        </w:rPr>
        <w:t>and reflect an atmosphere appropriate to the trade being taught</w:t>
      </w:r>
      <w:r w:rsidR="00C20C7A" w:rsidRPr="005B3BF3">
        <w:rPr>
          <w:rFonts w:ascii="Aptos" w:hAnsi="Aptos"/>
          <w:color w:val="1B1B1B"/>
        </w:rPr>
        <w:t>.</w:t>
      </w:r>
    </w:p>
    <w:p w14:paraId="73C2ECD8" w14:textId="27BD0DC9" w:rsidR="0027353C" w:rsidRPr="005B3BF3" w:rsidRDefault="00C20C7A" w:rsidP="0027353C">
      <w:pPr>
        <w:widowControl/>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After the</w:t>
      </w:r>
      <w:r w:rsidR="0027353C" w:rsidRPr="005B3BF3">
        <w:rPr>
          <w:rFonts w:ascii="Aptos" w:hAnsi="Aptos"/>
          <w:color w:val="1B1B1B"/>
        </w:rPr>
        <w:t xml:space="preserve"> initial screening</w:t>
      </w:r>
      <w:r w:rsidRPr="005B3BF3">
        <w:rPr>
          <w:rFonts w:ascii="Aptos" w:hAnsi="Aptos"/>
          <w:color w:val="1B1B1B"/>
        </w:rPr>
        <w:t xml:space="preserve"> is completed</w:t>
      </w:r>
      <w:r w:rsidR="0027353C" w:rsidRPr="005B3BF3">
        <w:rPr>
          <w:rFonts w:ascii="Aptos" w:hAnsi="Aptos"/>
          <w:color w:val="1B1B1B"/>
        </w:rPr>
        <w:t xml:space="preserve">, the provider will receive via email a </w:t>
      </w:r>
      <w:r w:rsidRPr="005B3BF3">
        <w:rPr>
          <w:rFonts w:ascii="Aptos" w:hAnsi="Aptos"/>
          <w:color w:val="1B1B1B"/>
        </w:rPr>
        <w:t xml:space="preserve">.pdf </w:t>
      </w:r>
      <w:r w:rsidR="0027353C" w:rsidRPr="005B3BF3">
        <w:rPr>
          <w:rFonts w:ascii="Aptos" w:hAnsi="Aptos"/>
          <w:color w:val="1B1B1B"/>
        </w:rPr>
        <w:t xml:space="preserve">copy of “The Provider Link User Guide.” The provider must complete their provider profile application within Delaware Job Link (DJL). The DWDB staff will only accept complete applications from prospective providers. Complete applications in (DJL) </w:t>
      </w:r>
      <w:r w:rsidRPr="005B3BF3">
        <w:rPr>
          <w:rFonts w:ascii="Aptos" w:hAnsi="Aptos"/>
          <w:color w:val="1B1B1B"/>
        </w:rPr>
        <w:t>must</w:t>
      </w:r>
      <w:r w:rsidR="0027353C" w:rsidRPr="005B3BF3">
        <w:rPr>
          <w:rFonts w:ascii="Aptos" w:hAnsi="Aptos"/>
          <w:color w:val="1B1B1B"/>
        </w:rPr>
        <w:t xml:space="preserve"> include:</w:t>
      </w:r>
    </w:p>
    <w:p w14:paraId="6D0D9790" w14:textId="1AC6AAF8" w:rsidR="0027353C" w:rsidRPr="005B3BF3" w:rsidRDefault="006C217B" w:rsidP="0027353C">
      <w:pPr>
        <w:pStyle w:val="ListParagraph"/>
        <w:widowControl/>
        <w:numPr>
          <w:ilvl w:val="0"/>
          <w:numId w:val="5"/>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A signed Memorandum of Understanding;</w:t>
      </w:r>
    </w:p>
    <w:p w14:paraId="0DCFB62E" w14:textId="35941885" w:rsidR="0027353C" w:rsidRPr="005B3BF3" w:rsidRDefault="006C217B" w:rsidP="0027353C">
      <w:pPr>
        <w:pStyle w:val="ListParagraph"/>
        <w:widowControl/>
        <w:numPr>
          <w:ilvl w:val="0"/>
          <w:numId w:val="5"/>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 xml:space="preserve">A complete information </w:t>
      </w:r>
      <w:r w:rsidR="0027353C" w:rsidRPr="005B3BF3">
        <w:rPr>
          <w:rFonts w:ascii="Aptos" w:hAnsi="Aptos"/>
          <w:color w:val="1B1B1B"/>
        </w:rPr>
        <w:t xml:space="preserve">profile </w:t>
      </w:r>
      <w:r w:rsidRPr="005B3BF3">
        <w:rPr>
          <w:rFonts w:ascii="Aptos" w:hAnsi="Aptos"/>
          <w:color w:val="1B1B1B"/>
        </w:rPr>
        <w:t>for each program</w:t>
      </w:r>
      <w:r w:rsidR="0027353C" w:rsidRPr="005B3BF3">
        <w:rPr>
          <w:rFonts w:ascii="Aptos" w:hAnsi="Aptos"/>
          <w:color w:val="1B1B1B"/>
        </w:rPr>
        <w:t xml:space="preserve"> with verifiable program</w:t>
      </w:r>
      <w:r w:rsidR="00EB683B" w:rsidRPr="005B3BF3">
        <w:rPr>
          <w:rFonts w:ascii="Aptos" w:hAnsi="Aptos"/>
          <w:color w:val="1B1B1B"/>
        </w:rPr>
        <w:t>-</w:t>
      </w:r>
      <w:r w:rsidR="0027353C" w:rsidRPr="005B3BF3">
        <w:rPr>
          <w:rFonts w:ascii="Aptos" w:hAnsi="Aptos"/>
          <w:color w:val="1B1B1B"/>
        </w:rPr>
        <w:t>specific information</w:t>
      </w:r>
      <w:r w:rsidRPr="005B3BF3">
        <w:rPr>
          <w:rFonts w:ascii="Aptos" w:hAnsi="Aptos"/>
          <w:color w:val="1B1B1B"/>
        </w:rPr>
        <w:t xml:space="preserve"> and </w:t>
      </w:r>
      <w:r w:rsidR="00EB683B" w:rsidRPr="005B3BF3">
        <w:rPr>
          <w:rFonts w:ascii="Aptos" w:hAnsi="Aptos"/>
          <w:color w:val="1B1B1B"/>
        </w:rPr>
        <w:t xml:space="preserve">a statement of course costs and </w:t>
      </w:r>
      <w:r w:rsidRPr="005B3BF3">
        <w:rPr>
          <w:rFonts w:ascii="Aptos" w:hAnsi="Aptos"/>
          <w:color w:val="1B1B1B"/>
        </w:rPr>
        <w:t xml:space="preserve">fees </w:t>
      </w:r>
      <w:r w:rsidR="00EB683B" w:rsidRPr="005B3BF3">
        <w:rPr>
          <w:rFonts w:ascii="Aptos" w:hAnsi="Aptos"/>
          <w:color w:val="1B1B1B"/>
        </w:rPr>
        <w:t xml:space="preserve">that </w:t>
      </w:r>
      <w:r w:rsidRPr="005B3BF3">
        <w:rPr>
          <w:rFonts w:ascii="Aptos" w:hAnsi="Aptos"/>
          <w:color w:val="1B1B1B"/>
        </w:rPr>
        <w:t>match the course catalog used by the public;</w:t>
      </w:r>
    </w:p>
    <w:p w14:paraId="648C5313" w14:textId="5D34515C" w:rsidR="0027353C" w:rsidRPr="005B3BF3" w:rsidRDefault="00EB683B" w:rsidP="0027353C">
      <w:pPr>
        <w:pStyle w:val="ListParagraph"/>
        <w:widowControl/>
        <w:numPr>
          <w:ilvl w:val="0"/>
          <w:numId w:val="5"/>
        </w:numPr>
        <w:shd w:val="clear" w:color="auto" w:fill="FFFFFF"/>
        <w:autoSpaceDE/>
        <w:autoSpaceDN/>
        <w:spacing w:before="100" w:beforeAutospacing="1" w:after="100" w:afterAutospacing="1"/>
        <w:rPr>
          <w:rFonts w:ascii="Aptos" w:hAnsi="Aptos"/>
          <w:color w:val="1B1B1B"/>
        </w:rPr>
      </w:pPr>
      <w:r w:rsidRPr="005B3BF3">
        <w:rPr>
          <w:rFonts w:ascii="Aptos" w:hAnsi="Aptos"/>
          <w:color w:val="000000"/>
        </w:rPr>
        <w:t>I</w:t>
      </w:r>
      <w:r w:rsidR="006C217B" w:rsidRPr="005B3BF3">
        <w:rPr>
          <w:rFonts w:ascii="Aptos" w:hAnsi="Aptos"/>
          <w:color w:val="000000"/>
        </w:rPr>
        <w:t>nformation supporting the provider’s partnership with business</w:t>
      </w:r>
      <w:r w:rsidRPr="005B3BF3">
        <w:rPr>
          <w:rFonts w:ascii="Aptos" w:hAnsi="Aptos"/>
          <w:color w:val="000000"/>
        </w:rPr>
        <w:t xml:space="preserve">, which </w:t>
      </w:r>
      <w:r w:rsidR="006C217B" w:rsidRPr="005B3BF3">
        <w:rPr>
          <w:rFonts w:ascii="Aptos" w:hAnsi="Aptos"/>
          <w:color w:val="000000"/>
        </w:rPr>
        <w:t>may include information about the quality and quantity of employer partnerships</w:t>
      </w:r>
      <w:r w:rsidRPr="005B3BF3">
        <w:rPr>
          <w:rFonts w:ascii="Aptos" w:hAnsi="Aptos"/>
          <w:color w:val="000000"/>
        </w:rPr>
        <w:t>;</w:t>
      </w:r>
    </w:p>
    <w:p w14:paraId="3CF21336" w14:textId="77777777" w:rsidR="0027353C" w:rsidRPr="005B3BF3" w:rsidRDefault="006C217B" w:rsidP="0027353C">
      <w:pPr>
        <w:pStyle w:val="ListParagraph"/>
        <w:widowControl/>
        <w:numPr>
          <w:ilvl w:val="0"/>
          <w:numId w:val="5"/>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Debarment disclosure;</w:t>
      </w:r>
    </w:p>
    <w:p w14:paraId="162DAE72" w14:textId="3B221582" w:rsidR="0027353C" w:rsidRPr="005B3BF3" w:rsidRDefault="006C217B" w:rsidP="0027353C">
      <w:pPr>
        <w:pStyle w:val="ListParagraph"/>
        <w:widowControl/>
        <w:numPr>
          <w:ilvl w:val="0"/>
          <w:numId w:val="5"/>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Delaware Department of Education Certification;</w:t>
      </w:r>
    </w:p>
    <w:p w14:paraId="4C662A90" w14:textId="491B29B3" w:rsidR="0027353C" w:rsidRPr="005B3BF3" w:rsidRDefault="00EB683B" w:rsidP="0027353C">
      <w:pPr>
        <w:pStyle w:val="ListParagraph"/>
        <w:widowControl/>
        <w:numPr>
          <w:ilvl w:val="0"/>
          <w:numId w:val="5"/>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 xml:space="preserve">A demonstration of </w:t>
      </w:r>
      <w:r w:rsidR="006C217B" w:rsidRPr="005B3BF3">
        <w:rPr>
          <w:rFonts w:ascii="Aptos" w:hAnsi="Aptos"/>
          <w:color w:val="1B1B1B"/>
        </w:rPr>
        <w:t xml:space="preserve">at least one-year </w:t>
      </w:r>
      <w:r w:rsidRPr="005B3BF3">
        <w:rPr>
          <w:rFonts w:ascii="Aptos" w:hAnsi="Aptos"/>
          <w:color w:val="1B1B1B"/>
        </w:rPr>
        <w:t xml:space="preserve">of </w:t>
      </w:r>
      <w:r w:rsidR="006C217B" w:rsidRPr="005B3BF3">
        <w:rPr>
          <w:rFonts w:ascii="Aptos" w:hAnsi="Aptos"/>
          <w:color w:val="1B1B1B"/>
        </w:rPr>
        <w:t>experience training job seekers in high</w:t>
      </w:r>
      <w:r w:rsidR="00EF06E0" w:rsidRPr="005B3BF3">
        <w:rPr>
          <w:rFonts w:ascii="Aptos" w:hAnsi="Aptos"/>
          <w:color w:val="1B1B1B"/>
        </w:rPr>
        <w:t>-</w:t>
      </w:r>
      <w:r w:rsidR="006C217B" w:rsidRPr="005B3BF3">
        <w:rPr>
          <w:rFonts w:ascii="Aptos" w:hAnsi="Aptos"/>
          <w:color w:val="1B1B1B"/>
        </w:rPr>
        <w:t>demand occupations and an established a track record in course completion and job placement</w:t>
      </w:r>
      <w:r w:rsidRPr="005B3BF3">
        <w:rPr>
          <w:rFonts w:ascii="Aptos" w:hAnsi="Aptos"/>
          <w:color w:val="1B1B1B"/>
        </w:rPr>
        <w:t>;</w:t>
      </w:r>
    </w:p>
    <w:p w14:paraId="0BEE986B" w14:textId="7C569979" w:rsidR="0027353C" w:rsidRPr="005B3BF3" w:rsidRDefault="00EB683B" w:rsidP="0027353C">
      <w:pPr>
        <w:pStyle w:val="ListParagraph"/>
        <w:widowControl/>
        <w:numPr>
          <w:ilvl w:val="0"/>
          <w:numId w:val="5"/>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A</w:t>
      </w:r>
      <w:r w:rsidR="006C217B" w:rsidRPr="005B3BF3">
        <w:rPr>
          <w:rFonts w:ascii="Aptos" w:hAnsi="Aptos"/>
          <w:color w:val="1B1B1B"/>
        </w:rPr>
        <w:t xml:space="preserve"> financial statement prepared by an accounting firm or a signed tax return; and</w:t>
      </w:r>
    </w:p>
    <w:p w14:paraId="3A06FB3C" w14:textId="4A3093EA" w:rsidR="006C217B" w:rsidRPr="005B3BF3" w:rsidRDefault="00EB683B" w:rsidP="0027353C">
      <w:pPr>
        <w:pStyle w:val="ListParagraph"/>
        <w:widowControl/>
        <w:numPr>
          <w:ilvl w:val="0"/>
          <w:numId w:val="5"/>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A</w:t>
      </w:r>
      <w:r w:rsidR="006C217B" w:rsidRPr="005B3BF3">
        <w:rPr>
          <w:rFonts w:ascii="Aptos" w:hAnsi="Aptos"/>
          <w:color w:val="1B1B1B"/>
        </w:rPr>
        <w:t xml:space="preserve"> copy of </w:t>
      </w:r>
      <w:r w:rsidRPr="005B3BF3">
        <w:rPr>
          <w:rFonts w:ascii="Aptos" w:hAnsi="Aptos"/>
          <w:color w:val="1B1B1B"/>
        </w:rPr>
        <w:t xml:space="preserve">the provider’s </w:t>
      </w:r>
      <w:r w:rsidR="006C217B" w:rsidRPr="005B3BF3">
        <w:rPr>
          <w:rFonts w:ascii="Aptos" w:hAnsi="Aptos"/>
          <w:color w:val="1B1B1B"/>
        </w:rPr>
        <w:t>current business license.</w:t>
      </w:r>
    </w:p>
    <w:p w14:paraId="6ABCB83B" w14:textId="1B9C2A2B" w:rsidR="00363871" w:rsidRPr="005B3BF3" w:rsidRDefault="00363871" w:rsidP="0027353C">
      <w:pPr>
        <w:pStyle w:val="ListParagraph"/>
        <w:widowControl/>
        <w:numPr>
          <w:ilvl w:val="0"/>
          <w:numId w:val="5"/>
        </w:numPr>
        <w:shd w:val="clear" w:color="auto" w:fill="FFFFFF"/>
        <w:autoSpaceDE/>
        <w:autoSpaceDN/>
        <w:spacing w:before="100" w:beforeAutospacing="1" w:after="100" w:afterAutospacing="1"/>
        <w:rPr>
          <w:rFonts w:ascii="Aptos" w:hAnsi="Aptos"/>
        </w:rPr>
      </w:pPr>
      <w:r w:rsidRPr="005B3BF3">
        <w:rPr>
          <w:rFonts w:ascii="Aptos" w:hAnsi="Aptos"/>
        </w:rPr>
        <w:t>A Surety Bond.</w:t>
      </w:r>
    </w:p>
    <w:p w14:paraId="283935E2" w14:textId="2D95C717" w:rsidR="006C217B" w:rsidRPr="005B3BF3" w:rsidRDefault="006C217B" w:rsidP="006C217B">
      <w:pPr>
        <w:widowControl/>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 xml:space="preserve">DWDB staff will recommend to the Proposal Review and Certification Committee approval/non-approval of initial applications for providers. </w:t>
      </w:r>
      <w:r w:rsidR="0027353C" w:rsidRPr="005B3BF3">
        <w:rPr>
          <w:rFonts w:ascii="Aptos" w:hAnsi="Aptos"/>
          <w:color w:val="1B1B1B"/>
        </w:rPr>
        <w:t>Following provider approval, staff will inform the provider they can enter programs into DJL for consideration.</w:t>
      </w:r>
      <w:r w:rsidR="00A7462B" w:rsidRPr="005B3BF3">
        <w:rPr>
          <w:rFonts w:ascii="Aptos" w:hAnsi="Aptos"/>
          <w:color w:val="1B1B1B"/>
        </w:rPr>
        <w:t xml:space="preserve"> </w:t>
      </w:r>
      <w:r w:rsidRPr="005B3BF3">
        <w:rPr>
          <w:rFonts w:ascii="Aptos" w:hAnsi="Aptos"/>
          <w:color w:val="1B1B1B"/>
        </w:rPr>
        <w:t>The staff will</w:t>
      </w:r>
      <w:r w:rsidR="00A7462B" w:rsidRPr="005B3BF3">
        <w:rPr>
          <w:rFonts w:ascii="Aptos" w:hAnsi="Aptos"/>
          <w:color w:val="1B1B1B"/>
        </w:rPr>
        <w:t xml:space="preserve"> review all the programs and</w:t>
      </w:r>
      <w:r w:rsidRPr="005B3BF3">
        <w:rPr>
          <w:rFonts w:ascii="Aptos" w:hAnsi="Aptos"/>
          <w:color w:val="1B1B1B"/>
        </w:rPr>
        <w:t xml:space="preserve"> develop recommendations </w:t>
      </w:r>
      <w:r w:rsidR="00A7462B" w:rsidRPr="005B3BF3">
        <w:rPr>
          <w:rFonts w:ascii="Aptos" w:hAnsi="Aptos"/>
          <w:color w:val="1B1B1B"/>
        </w:rPr>
        <w:t xml:space="preserve">for program approval </w:t>
      </w:r>
      <w:r w:rsidRPr="005B3BF3">
        <w:rPr>
          <w:rFonts w:ascii="Aptos" w:hAnsi="Aptos"/>
          <w:color w:val="1B1B1B"/>
        </w:rPr>
        <w:t>based on, at least, the following criteria:</w:t>
      </w:r>
    </w:p>
    <w:p w14:paraId="35D4FA84" w14:textId="321BA50D" w:rsidR="006C217B" w:rsidRPr="005B3BF3" w:rsidRDefault="006C217B" w:rsidP="006C217B">
      <w:pPr>
        <w:widowControl/>
        <w:numPr>
          <w:ilvl w:val="0"/>
          <w:numId w:val="2"/>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Does the provider program meet a high</w:t>
      </w:r>
      <w:r w:rsidR="00EF06E0" w:rsidRPr="005B3BF3">
        <w:rPr>
          <w:rFonts w:ascii="Aptos" w:hAnsi="Aptos"/>
          <w:color w:val="1B1B1B"/>
        </w:rPr>
        <w:t>-</w:t>
      </w:r>
      <w:r w:rsidRPr="005B3BF3">
        <w:rPr>
          <w:rFonts w:ascii="Aptos" w:hAnsi="Aptos"/>
          <w:color w:val="1B1B1B"/>
        </w:rPr>
        <w:t>demand occupation?</w:t>
      </w:r>
    </w:p>
    <w:p w14:paraId="469B6482" w14:textId="77777777" w:rsidR="006C217B" w:rsidRPr="005B3BF3" w:rsidRDefault="006C217B" w:rsidP="006C217B">
      <w:pPr>
        <w:widowControl/>
        <w:numPr>
          <w:ilvl w:val="0"/>
          <w:numId w:val="2"/>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Does this provider have an established track record of success for at least one year conducting training and job placement?</w:t>
      </w:r>
    </w:p>
    <w:p w14:paraId="526B9ECD" w14:textId="525181CC" w:rsidR="006C217B" w:rsidRPr="005B3BF3" w:rsidRDefault="006C217B" w:rsidP="006C217B">
      <w:pPr>
        <w:widowControl/>
        <w:numPr>
          <w:ilvl w:val="0"/>
          <w:numId w:val="2"/>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Does the program offer industry</w:t>
      </w:r>
      <w:r w:rsidR="00EB683B" w:rsidRPr="005B3BF3">
        <w:rPr>
          <w:rFonts w:ascii="Aptos" w:hAnsi="Aptos"/>
          <w:color w:val="1B1B1B"/>
        </w:rPr>
        <w:t>-</w:t>
      </w:r>
      <w:r w:rsidRPr="005B3BF3">
        <w:rPr>
          <w:rFonts w:ascii="Aptos" w:hAnsi="Aptos"/>
          <w:color w:val="1B1B1B"/>
        </w:rPr>
        <w:t xml:space="preserve">recognized certifications </w:t>
      </w:r>
      <w:r w:rsidR="0010025E" w:rsidRPr="005B3BF3">
        <w:rPr>
          <w:rFonts w:ascii="Aptos" w:hAnsi="Aptos"/>
          <w:color w:val="1B1B1B"/>
        </w:rPr>
        <w:t>or</w:t>
      </w:r>
      <w:r w:rsidRPr="005B3BF3">
        <w:rPr>
          <w:rFonts w:ascii="Aptos" w:hAnsi="Aptos"/>
          <w:color w:val="1B1B1B"/>
        </w:rPr>
        <w:t xml:space="preserve"> credentials?</w:t>
      </w:r>
    </w:p>
    <w:p w14:paraId="05B7F492" w14:textId="77777777" w:rsidR="006C217B" w:rsidRPr="005B3BF3" w:rsidRDefault="006C217B" w:rsidP="006C217B">
      <w:pPr>
        <w:widowControl/>
        <w:numPr>
          <w:ilvl w:val="0"/>
          <w:numId w:val="2"/>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Does the program lead to a recognized post-secondary credential?</w:t>
      </w:r>
    </w:p>
    <w:p w14:paraId="7D2E2D32" w14:textId="77777777" w:rsidR="006C217B" w:rsidRPr="005B3BF3" w:rsidRDefault="006C217B" w:rsidP="006C217B">
      <w:pPr>
        <w:widowControl/>
        <w:numPr>
          <w:ilvl w:val="0"/>
          <w:numId w:val="2"/>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Does the provider have enough revenue to succeed without the ITA funding?</w:t>
      </w:r>
    </w:p>
    <w:p w14:paraId="6F88E527" w14:textId="77777777" w:rsidR="006C217B" w:rsidRPr="005B3BF3" w:rsidRDefault="006C217B" w:rsidP="006C217B">
      <w:pPr>
        <w:widowControl/>
        <w:numPr>
          <w:ilvl w:val="0"/>
          <w:numId w:val="2"/>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Is the training site equipped to conduct training?</w:t>
      </w:r>
    </w:p>
    <w:p w14:paraId="71CBEB19" w14:textId="77777777" w:rsidR="006C217B" w:rsidRPr="005B3BF3" w:rsidRDefault="006C217B" w:rsidP="006C217B">
      <w:pPr>
        <w:widowControl/>
        <w:numPr>
          <w:ilvl w:val="0"/>
          <w:numId w:val="2"/>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Can the training site switch to remote learning if necessary?</w:t>
      </w:r>
    </w:p>
    <w:p w14:paraId="37070782" w14:textId="77777777" w:rsidR="006C217B" w:rsidRPr="005B3BF3" w:rsidRDefault="006C217B" w:rsidP="006C217B">
      <w:pPr>
        <w:widowControl/>
        <w:numPr>
          <w:ilvl w:val="0"/>
          <w:numId w:val="2"/>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lastRenderedPageBreak/>
        <w:t>Does the provider offer trainings that are physically and programmatically accessible for individuals who are employed and individuals with barriers to employment including individuals with disabilities?</w:t>
      </w:r>
    </w:p>
    <w:p w14:paraId="23B7CF95" w14:textId="77777777" w:rsidR="006C217B" w:rsidRPr="005B3BF3" w:rsidRDefault="006C217B" w:rsidP="006C217B">
      <w:pPr>
        <w:widowControl/>
        <w:numPr>
          <w:ilvl w:val="0"/>
          <w:numId w:val="2"/>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Are the programs submitted for approval currently available and ready for public use?</w:t>
      </w:r>
    </w:p>
    <w:p w14:paraId="5DA35A4C" w14:textId="7936DE2F" w:rsidR="006C217B" w:rsidRPr="005B3BF3" w:rsidRDefault="006C217B" w:rsidP="006C217B">
      <w:pPr>
        <w:widowControl/>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The Proposal Reviewed and Certification Committee may accept or reject the staff’s recommendation</w:t>
      </w:r>
      <w:r w:rsidR="00EB683B" w:rsidRPr="005B3BF3">
        <w:rPr>
          <w:rFonts w:ascii="Aptos" w:hAnsi="Aptos"/>
          <w:color w:val="1B1B1B"/>
        </w:rPr>
        <w:t>s</w:t>
      </w:r>
      <w:r w:rsidRPr="005B3BF3">
        <w:rPr>
          <w:rFonts w:ascii="Aptos" w:hAnsi="Aptos"/>
          <w:color w:val="1B1B1B"/>
        </w:rPr>
        <w:t xml:space="preserve"> in whole or in part. The </w:t>
      </w:r>
      <w:r w:rsidR="00EB683B" w:rsidRPr="005B3BF3">
        <w:rPr>
          <w:rFonts w:ascii="Aptos" w:hAnsi="Aptos"/>
          <w:color w:val="1B1B1B"/>
        </w:rPr>
        <w:t>C</w:t>
      </w:r>
      <w:r w:rsidRPr="005B3BF3">
        <w:rPr>
          <w:rFonts w:ascii="Aptos" w:hAnsi="Aptos"/>
          <w:color w:val="1B1B1B"/>
        </w:rPr>
        <w:t xml:space="preserve">ommittee is free to accept all prospective programs, some programs, or no programs and will present </w:t>
      </w:r>
      <w:r w:rsidR="00EB683B" w:rsidRPr="005B3BF3">
        <w:rPr>
          <w:rFonts w:ascii="Aptos" w:hAnsi="Aptos"/>
          <w:color w:val="1B1B1B"/>
        </w:rPr>
        <w:t xml:space="preserve">its decision </w:t>
      </w:r>
      <w:r w:rsidRPr="005B3BF3">
        <w:rPr>
          <w:rFonts w:ascii="Aptos" w:hAnsi="Aptos"/>
          <w:color w:val="1B1B1B"/>
        </w:rPr>
        <w:t xml:space="preserve">to the Executive Committee or </w:t>
      </w:r>
      <w:r w:rsidR="00EF06E0" w:rsidRPr="005B3BF3">
        <w:rPr>
          <w:rFonts w:ascii="Aptos" w:hAnsi="Aptos"/>
          <w:color w:val="1B1B1B"/>
        </w:rPr>
        <w:t>f</w:t>
      </w:r>
      <w:r w:rsidRPr="005B3BF3">
        <w:rPr>
          <w:rFonts w:ascii="Aptos" w:hAnsi="Aptos"/>
          <w:color w:val="1B1B1B"/>
        </w:rPr>
        <w:t xml:space="preserve">ull </w:t>
      </w:r>
      <w:r w:rsidR="00EF06E0" w:rsidRPr="005B3BF3">
        <w:rPr>
          <w:rFonts w:ascii="Aptos" w:hAnsi="Aptos"/>
          <w:color w:val="1B1B1B"/>
        </w:rPr>
        <w:t>B</w:t>
      </w:r>
      <w:r w:rsidRPr="005B3BF3">
        <w:rPr>
          <w:rFonts w:ascii="Aptos" w:hAnsi="Aptos"/>
          <w:color w:val="1B1B1B"/>
        </w:rPr>
        <w:t xml:space="preserve">oard. </w:t>
      </w:r>
    </w:p>
    <w:p w14:paraId="5ECC0746" w14:textId="48F6B8D8" w:rsidR="006C217B" w:rsidRPr="005B3BF3" w:rsidRDefault="006C217B" w:rsidP="006C217B">
      <w:pPr>
        <w:widowControl/>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 xml:space="preserve">When </w:t>
      </w:r>
      <w:r w:rsidR="00EB683B" w:rsidRPr="005B3BF3">
        <w:rPr>
          <w:rFonts w:ascii="Aptos" w:hAnsi="Aptos"/>
          <w:color w:val="1B1B1B"/>
        </w:rPr>
        <w:t xml:space="preserve">a </w:t>
      </w:r>
      <w:r w:rsidRPr="005B3BF3">
        <w:rPr>
          <w:rFonts w:ascii="Aptos" w:hAnsi="Aptos"/>
          <w:color w:val="1B1B1B"/>
        </w:rPr>
        <w:t xml:space="preserve">program or provider is approved by the Executive Committee or </w:t>
      </w:r>
      <w:r w:rsidR="00EF06E0" w:rsidRPr="005B3BF3">
        <w:rPr>
          <w:rFonts w:ascii="Aptos" w:hAnsi="Aptos"/>
          <w:color w:val="1B1B1B"/>
        </w:rPr>
        <w:t>f</w:t>
      </w:r>
      <w:r w:rsidRPr="005B3BF3">
        <w:rPr>
          <w:rFonts w:ascii="Aptos" w:hAnsi="Aptos"/>
          <w:color w:val="1B1B1B"/>
        </w:rPr>
        <w:t xml:space="preserve">ull Board, the </w:t>
      </w:r>
      <w:r w:rsidR="00A7462B" w:rsidRPr="005B3BF3">
        <w:rPr>
          <w:rFonts w:ascii="Aptos" w:hAnsi="Aptos"/>
          <w:color w:val="1B1B1B"/>
        </w:rPr>
        <w:t>DWDB staff</w:t>
      </w:r>
      <w:r w:rsidRPr="005B3BF3">
        <w:rPr>
          <w:rFonts w:ascii="Aptos" w:hAnsi="Aptos"/>
          <w:color w:val="1B1B1B"/>
        </w:rPr>
        <w:t xml:space="preserve"> will notify the provider </w:t>
      </w:r>
      <w:r w:rsidR="00A7462B" w:rsidRPr="005B3BF3">
        <w:rPr>
          <w:rFonts w:ascii="Aptos" w:hAnsi="Aptos"/>
          <w:color w:val="1B1B1B"/>
        </w:rPr>
        <w:t xml:space="preserve">of the approval via email. </w:t>
      </w:r>
    </w:p>
    <w:p w14:paraId="543FF753" w14:textId="6927EF93" w:rsidR="006C217B" w:rsidRPr="005B3BF3" w:rsidRDefault="006C217B" w:rsidP="006C217B">
      <w:pPr>
        <w:widowControl/>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The DWDB executive director will notify non-approved providers or programs of the decision</w:t>
      </w:r>
      <w:r w:rsidR="003D1265" w:rsidRPr="005B3BF3">
        <w:rPr>
          <w:rFonts w:ascii="Aptos" w:hAnsi="Aptos"/>
          <w:color w:val="1B1B1B"/>
        </w:rPr>
        <w:t xml:space="preserve"> </w:t>
      </w:r>
      <w:r w:rsidR="0076074A" w:rsidRPr="005B3BF3">
        <w:rPr>
          <w:rFonts w:ascii="Aptos" w:hAnsi="Aptos"/>
          <w:color w:val="1B1B1B"/>
        </w:rPr>
        <w:t>in writing</w:t>
      </w:r>
      <w:r w:rsidRPr="005B3BF3">
        <w:rPr>
          <w:rFonts w:ascii="Aptos" w:hAnsi="Aptos"/>
          <w:color w:val="1B1B1B"/>
        </w:rPr>
        <w:t>. At a minimum</w:t>
      </w:r>
      <w:r w:rsidR="003D1265" w:rsidRPr="005B3BF3">
        <w:rPr>
          <w:rFonts w:ascii="Aptos" w:hAnsi="Aptos"/>
          <w:color w:val="1B1B1B"/>
        </w:rPr>
        <w:t>,</w:t>
      </w:r>
      <w:r w:rsidRPr="005B3BF3">
        <w:rPr>
          <w:rFonts w:ascii="Aptos" w:hAnsi="Aptos"/>
          <w:color w:val="1B1B1B"/>
        </w:rPr>
        <w:t xml:space="preserve"> the </w:t>
      </w:r>
      <w:r w:rsidR="003D1265" w:rsidRPr="005B3BF3">
        <w:rPr>
          <w:rFonts w:ascii="Aptos" w:hAnsi="Aptos"/>
          <w:color w:val="1B1B1B"/>
        </w:rPr>
        <w:t xml:space="preserve">notification </w:t>
      </w:r>
      <w:r w:rsidRPr="005B3BF3">
        <w:rPr>
          <w:rFonts w:ascii="Aptos" w:hAnsi="Aptos"/>
          <w:color w:val="1B1B1B"/>
        </w:rPr>
        <w:t>will:</w:t>
      </w:r>
    </w:p>
    <w:p w14:paraId="34FFFE66" w14:textId="04E392EF" w:rsidR="006C217B" w:rsidRPr="005B3BF3" w:rsidRDefault="006C217B" w:rsidP="006C217B">
      <w:pPr>
        <w:widowControl/>
        <w:numPr>
          <w:ilvl w:val="0"/>
          <w:numId w:val="3"/>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Be sent via email within 30 days of the decision;</w:t>
      </w:r>
    </w:p>
    <w:p w14:paraId="5BCF6153" w14:textId="7906D7C7" w:rsidR="006C217B" w:rsidRPr="005B3BF3" w:rsidRDefault="006C217B" w:rsidP="006C217B">
      <w:pPr>
        <w:widowControl/>
        <w:numPr>
          <w:ilvl w:val="0"/>
          <w:numId w:val="3"/>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 xml:space="preserve">Clearly inform </w:t>
      </w:r>
      <w:r w:rsidR="003D1265" w:rsidRPr="005B3BF3">
        <w:rPr>
          <w:rFonts w:ascii="Aptos" w:hAnsi="Aptos"/>
          <w:color w:val="1B1B1B"/>
        </w:rPr>
        <w:t xml:space="preserve">the </w:t>
      </w:r>
      <w:r w:rsidRPr="005B3BF3">
        <w:rPr>
          <w:rFonts w:ascii="Aptos" w:hAnsi="Aptos"/>
          <w:color w:val="1B1B1B"/>
        </w:rPr>
        <w:t xml:space="preserve">provider of </w:t>
      </w:r>
      <w:r w:rsidR="003D1265" w:rsidRPr="005B3BF3">
        <w:rPr>
          <w:rFonts w:ascii="Aptos" w:hAnsi="Aptos"/>
          <w:color w:val="1B1B1B"/>
        </w:rPr>
        <w:t xml:space="preserve">its </w:t>
      </w:r>
      <w:r w:rsidRPr="005B3BF3">
        <w:rPr>
          <w:rFonts w:ascii="Aptos" w:hAnsi="Aptos"/>
          <w:color w:val="1B1B1B"/>
        </w:rPr>
        <w:t>opportunity to appeal;</w:t>
      </w:r>
    </w:p>
    <w:p w14:paraId="3DD597ED" w14:textId="1690DA77" w:rsidR="006C217B" w:rsidRPr="005B3BF3" w:rsidRDefault="006C217B" w:rsidP="006C217B">
      <w:pPr>
        <w:widowControl/>
        <w:numPr>
          <w:ilvl w:val="0"/>
          <w:numId w:val="3"/>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Have the appeal process as a standalone attachment; and</w:t>
      </w:r>
    </w:p>
    <w:p w14:paraId="463232B8" w14:textId="1D96F05F" w:rsidR="006C217B" w:rsidRPr="005B3BF3" w:rsidRDefault="00C611C7" w:rsidP="006C217B">
      <w:pPr>
        <w:widowControl/>
        <w:numPr>
          <w:ilvl w:val="0"/>
          <w:numId w:val="3"/>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Generally,</w:t>
      </w:r>
      <w:r w:rsidR="006C217B" w:rsidRPr="005B3BF3">
        <w:rPr>
          <w:rFonts w:ascii="Aptos" w:hAnsi="Aptos"/>
          <w:color w:val="1B1B1B"/>
        </w:rPr>
        <w:t xml:space="preserve"> explain the reason for non-approval.</w:t>
      </w:r>
    </w:p>
    <w:p w14:paraId="64BD672C" w14:textId="4FDC983B" w:rsidR="001D6BBC" w:rsidRPr="005B3BF3" w:rsidRDefault="001D6BBC" w:rsidP="001D6BBC">
      <w:pPr>
        <w:widowControl/>
        <w:shd w:val="clear" w:color="auto" w:fill="FFFFFF"/>
        <w:autoSpaceDE/>
        <w:autoSpaceDN/>
        <w:spacing w:before="100" w:beforeAutospacing="1" w:after="100" w:afterAutospacing="1"/>
        <w:rPr>
          <w:rFonts w:ascii="Aptos" w:hAnsi="Aptos"/>
          <w:color w:val="000000"/>
        </w:rPr>
      </w:pPr>
      <w:r w:rsidRPr="005B3BF3">
        <w:rPr>
          <w:rFonts w:ascii="Aptos" w:hAnsi="Aptos"/>
          <w:color w:val="000000"/>
        </w:rPr>
        <w:t>Pro</w:t>
      </w:r>
      <w:r w:rsidR="003C1168" w:rsidRPr="005B3BF3">
        <w:rPr>
          <w:rFonts w:ascii="Aptos" w:hAnsi="Aptos"/>
          <w:color w:val="000000"/>
        </w:rPr>
        <w:t>viders</w:t>
      </w:r>
      <w:r w:rsidRPr="005B3BF3">
        <w:rPr>
          <w:rFonts w:ascii="Aptos" w:hAnsi="Aptos"/>
          <w:color w:val="000000"/>
        </w:rPr>
        <w:t xml:space="preserve"> must </w:t>
      </w:r>
      <w:r w:rsidR="003C1168" w:rsidRPr="005B3BF3">
        <w:rPr>
          <w:rFonts w:ascii="Aptos" w:hAnsi="Aptos"/>
          <w:color w:val="000000"/>
        </w:rPr>
        <w:t xml:space="preserve">collect and </w:t>
      </w:r>
      <w:r w:rsidRPr="005B3BF3">
        <w:rPr>
          <w:rFonts w:ascii="Aptos" w:hAnsi="Aptos"/>
          <w:color w:val="000000"/>
        </w:rPr>
        <w:t xml:space="preserve">provide the following performance metrics based on aggregate data for </w:t>
      </w:r>
      <w:r w:rsidRPr="005B3BF3">
        <w:rPr>
          <w:rFonts w:ascii="Aptos" w:hAnsi="Aptos"/>
          <w:b/>
          <w:bCs/>
          <w:color w:val="000000"/>
        </w:rPr>
        <w:t xml:space="preserve">all </w:t>
      </w:r>
      <w:r w:rsidRPr="005B3BF3">
        <w:rPr>
          <w:rFonts w:ascii="Aptos" w:hAnsi="Aptos"/>
          <w:color w:val="000000"/>
        </w:rPr>
        <w:t xml:space="preserve">students in the program to ensure </w:t>
      </w:r>
      <w:r w:rsidR="003C1168" w:rsidRPr="005B3BF3">
        <w:rPr>
          <w:rFonts w:ascii="Aptos" w:hAnsi="Aptos"/>
          <w:color w:val="000000"/>
        </w:rPr>
        <w:t xml:space="preserve">the </w:t>
      </w:r>
      <w:r w:rsidRPr="005B3BF3">
        <w:rPr>
          <w:rFonts w:ascii="Aptos" w:hAnsi="Aptos"/>
          <w:color w:val="000000"/>
        </w:rPr>
        <w:t xml:space="preserve">program supports the ability for the individual to obtain an industry-recognized postsecondary credential or employment upon completion of the program. </w:t>
      </w:r>
      <w:r w:rsidRPr="005B3BF3">
        <w:rPr>
          <w:rFonts w:ascii="Aptos" w:hAnsi="Aptos"/>
        </w:rPr>
        <w:t>This includes:</w:t>
      </w:r>
    </w:p>
    <w:p w14:paraId="512BE8E3" w14:textId="1FD0AE5E" w:rsidR="001D6BBC" w:rsidRPr="005B3BF3" w:rsidRDefault="00A7462B" w:rsidP="0086227F">
      <w:pPr>
        <w:widowControl/>
        <w:numPr>
          <w:ilvl w:val="1"/>
          <w:numId w:val="4"/>
        </w:numPr>
        <w:tabs>
          <w:tab w:val="clear" w:pos="1440"/>
        </w:tabs>
        <w:autoSpaceDE/>
        <w:autoSpaceDN/>
        <w:spacing w:before="100" w:beforeAutospacing="1" w:after="100" w:afterAutospacing="1"/>
        <w:ind w:left="720"/>
        <w:rPr>
          <w:rFonts w:ascii="Aptos" w:hAnsi="Aptos"/>
        </w:rPr>
      </w:pPr>
      <w:r w:rsidRPr="005B3BF3">
        <w:rPr>
          <w:rFonts w:ascii="Aptos" w:hAnsi="Aptos"/>
        </w:rPr>
        <w:t>E</w:t>
      </w:r>
      <w:r w:rsidR="001D6BBC" w:rsidRPr="005B3BF3">
        <w:rPr>
          <w:rFonts w:ascii="Aptos" w:hAnsi="Aptos"/>
        </w:rPr>
        <w:t xml:space="preserve">mployment 2nd &amp; 4th </w:t>
      </w:r>
      <w:r w:rsidR="00004AFF" w:rsidRPr="005B3BF3">
        <w:rPr>
          <w:rFonts w:ascii="Aptos" w:hAnsi="Aptos"/>
        </w:rPr>
        <w:t>q</w:t>
      </w:r>
      <w:r w:rsidR="001D6BBC" w:rsidRPr="005B3BF3">
        <w:rPr>
          <w:rFonts w:ascii="Aptos" w:hAnsi="Aptos"/>
        </w:rPr>
        <w:t>uarter after exit</w:t>
      </w:r>
      <w:r w:rsidR="00EB683B" w:rsidRPr="005B3BF3">
        <w:rPr>
          <w:rFonts w:ascii="Aptos" w:hAnsi="Aptos"/>
        </w:rPr>
        <w:t>;</w:t>
      </w:r>
    </w:p>
    <w:p w14:paraId="1C922781" w14:textId="5011F499" w:rsidR="001D6BBC" w:rsidRPr="005B3BF3" w:rsidRDefault="00EB683B" w:rsidP="0086227F">
      <w:pPr>
        <w:widowControl/>
        <w:numPr>
          <w:ilvl w:val="1"/>
          <w:numId w:val="4"/>
        </w:numPr>
        <w:tabs>
          <w:tab w:val="clear" w:pos="1440"/>
        </w:tabs>
        <w:autoSpaceDE/>
        <w:autoSpaceDN/>
        <w:spacing w:before="100" w:beforeAutospacing="1" w:after="100" w:afterAutospacing="1"/>
        <w:ind w:left="720"/>
        <w:rPr>
          <w:rFonts w:ascii="Aptos" w:hAnsi="Aptos"/>
        </w:rPr>
      </w:pPr>
      <w:r w:rsidRPr="005B3BF3">
        <w:rPr>
          <w:rFonts w:ascii="Aptos" w:hAnsi="Aptos"/>
        </w:rPr>
        <w:t>M</w:t>
      </w:r>
      <w:r w:rsidR="001D6BBC" w:rsidRPr="005B3BF3">
        <w:rPr>
          <w:rFonts w:ascii="Aptos" w:hAnsi="Aptos"/>
        </w:rPr>
        <w:t>edian earnings</w:t>
      </w:r>
      <w:r w:rsidRPr="005B3BF3">
        <w:rPr>
          <w:rFonts w:ascii="Aptos" w:hAnsi="Aptos"/>
        </w:rPr>
        <w:t>;</w:t>
      </w:r>
    </w:p>
    <w:p w14:paraId="2E024DF1" w14:textId="759D34F8" w:rsidR="001D6BBC" w:rsidRPr="005B3BF3" w:rsidRDefault="00EB683B" w:rsidP="0086227F">
      <w:pPr>
        <w:widowControl/>
        <w:numPr>
          <w:ilvl w:val="1"/>
          <w:numId w:val="4"/>
        </w:numPr>
        <w:tabs>
          <w:tab w:val="clear" w:pos="1440"/>
        </w:tabs>
        <w:autoSpaceDE/>
        <w:autoSpaceDN/>
        <w:spacing w:before="100" w:beforeAutospacing="1" w:after="100" w:afterAutospacing="1"/>
        <w:ind w:left="720"/>
        <w:rPr>
          <w:rFonts w:ascii="Aptos" w:hAnsi="Aptos"/>
        </w:rPr>
      </w:pPr>
      <w:r w:rsidRPr="005B3BF3">
        <w:rPr>
          <w:rFonts w:ascii="Aptos" w:hAnsi="Aptos"/>
        </w:rPr>
        <w:t>C</w:t>
      </w:r>
      <w:r w:rsidR="001D6BBC" w:rsidRPr="005B3BF3">
        <w:rPr>
          <w:rFonts w:ascii="Aptos" w:hAnsi="Aptos"/>
        </w:rPr>
        <w:t>redential attainment</w:t>
      </w:r>
      <w:r w:rsidRPr="005B3BF3">
        <w:rPr>
          <w:rFonts w:ascii="Aptos" w:hAnsi="Aptos"/>
        </w:rPr>
        <w:t>;</w:t>
      </w:r>
    </w:p>
    <w:p w14:paraId="2974D45E" w14:textId="1E7CB81B" w:rsidR="001D6BBC" w:rsidRPr="005B3BF3" w:rsidRDefault="00EB683B" w:rsidP="0086227F">
      <w:pPr>
        <w:widowControl/>
        <w:numPr>
          <w:ilvl w:val="1"/>
          <w:numId w:val="4"/>
        </w:numPr>
        <w:tabs>
          <w:tab w:val="clear" w:pos="1440"/>
        </w:tabs>
        <w:autoSpaceDE/>
        <w:autoSpaceDN/>
        <w:spacing w:before="100" w:beforeAutospacing="1" w:after="100" w:afterAutospacing="1"/>
        <w:ind w:left="720"/>
        <w:rPr>
          <w:rFonts w:ascii="Aptos" w:hAnsi="Aptos"/>
        </w:rPr>
      </w:pPr>
      <w:r w:rsidRPr="005B3BF3">
        <w:rPr>
          <w:rFonts w:ascii="Aptos" w:hAnsi="Aptos"/>
        </w:rPr>
        <w:t>T</w:t>
      </w:r>
      <w:r w:rsidR="001D6BBC" w:rsidRPr="005B3BF3">
        <w:rPr>
          <w:rFonts w:ascii="Aptos" w:hAnsi="Aptos"/>
        </w:rPr>
        <w:t>otal number of participants enrolled in the program</w:t>
      </w:r>
      <w:r w:rsidRPr="005B3BF3">
        <w:rPr>
          <w:rFonts w:ascii="Aptos" w:hAnsi="Aptos"/>
        </w:rPr>
        <w:t>;</w:t>
      </w:r>
    </w:p>
    <w:p w14:paraId="0203EE5F" w14:textId="3A3CE6D2" w:rsidR="001D6BBC" w:rsidRPr="005B3BF3" w:rsidRDefault="00EB683B" w:rsidP="0086227F">
      <w:pPr>
        <w:widowControl/>
        <w:numPr>
          <w:ilvl w:val="1"/>
          <w:numId w:val="4"/>
        </w:numPr>
        <w:tabs>
          <w:tab w:val="clear" w:pos="1440"/>
        </w:tabs>
        <w:autoSpaceDE/>
        <w:autoSpaceDN/>
        <w:spacing w:before="100" w:beforeAutospacing="1" w:after="100" w:afterAutospacing="1"/>
        <w:ind w:left="720"/>
        <w:rPr>
          <w:rFonts w:ascii="Aptos" w:hAnsi="Aptos"/>
        </w:rPr>
      </w:pPr>
      <w:r w:rsidRPr="005B3BF3">
        <w:rPr>
          <w:rFonts w:ascii="Aptos" w:hAnsi="Aptos"/>
        </w:rPr>
        <w:t>T</w:t>
      </w:r>
      <w:r w:rsidR="001D6BBC" w:rsidRPr="005B3BF3">
        <w:rPr>
          <w:rFonts w:ascii="Aptos" w:hAnsi="Aptos"/>
        </w:rPr>
        <w:t>otal number of participants completing the program</w:t>
      </w:r>
      <w:r w:rsidRPr="005B3BF3">
        <w:rPr>
          <w:rFonts w:ascii="Aptos" w:hAnsi="Aptos"/>
        </w:rPr>
        <w:t>;</w:t>
      </w:r>
      <w:r w:rsidR="009B6E59" w:rsidRPr="005B3BF3">
        <w:rPr>
          <w:rFonts w:ascii="Aptos" w:hAnsi="Aptos"/>
        </w:rPr>
        <w:t xml:space="preserve"> and</w:t>
      </w:r>
    </w:p>
    <w:p w14:paraId="4CEABF65" w14:textId="4D6FC946" w:rsidR="001D6BBC" w:rsidRPr="005B3BF3" w:rsidRDefault="00EB683B" w:rsidP="0086227F">
      <w:pPr>
        <w:widowControl/>
        <w:numPr>
          <w:ilvl w:val="1"/>
          <w:numId w:val="4"/>
        </w:numPr>
        <w:tabs>
          <w:tab w:val="clear" w:pos="1440"/>
        </w:tabs>
        <w:autoSpaceDE/>
        <w:autoSpaceDN/>
        <w:spacing w:before="100" w:beforeAutospacing="1" w:after="100" w:afterAutospacing="1"/>
        <w:ind w:left="720"/>
        <w:rPr>
          <w:rFonts w:ascii="Aptos" w:hAnsi="Aptos"/>
        </w:rPr>
      </w:pPr>
      <w:r w:rsidRPr="005B3BF3">
        <w:rPr>
          <w:rFonts w:ascii="Aptos" w:hAnsi="Aptos"/>
        </w:rPr>
        <w:t>T</w:t>
      </w:r>
      <w:r w:rsidR="001D6BBC" w:rsidRPr="005B3BF3">
        <w:rPr>
          <w:rFonts w:ascii="Aptos" w:hAnsi="Aptos"/>
        </w:rPr>
        <w:t>otal number of participants exiting the program.</w:t>
      </w:r>
    </w:p>
    <w:p w14:paraId="4DC77403" w14:textId="5CC8ED78" w:rsidR="009B6E59" w:rsidRPr="005B3BF3" w:rsidRDefault="006C217B" w:rsidP="009B6E59">
      <w:pPr>
        <w:pStyle w:val="psection-1"/>
        <w:shd w:val="clear" w:color="auto" w:fill="FFFFFF"/>
        <w:spacing w:before="150" w:beforeAutospacing="0" w:after="150" w:afterAutospacing="0"/>
        <w:rPr>
          <w:rFonts w:ascii="Aptos" w:hAnsi="Aptos" w:cs="Open Sans"/>
          <w:sz w:val="22"/>
          <w:szCs w:val="22"/>
        </w:rPr>
      </w:pPr>
      <w:r w:rsidRPr="005B3BF3">
        <w:rPr>
          <w:rFonts w:ascii="Aptos" w:hAnsi="Aptos"/>
          <w:color w:val="1B1B1B"/>
          <w:sz w:val="22"/>
          <w:szCs w:val="22"/>
        </w:rPr>
        <w:t xml:space="preserve">In establishing eligibility criteria, </w:t>
      </w:r>
      <w:r w:rsidR="003D1265" w:rsidRPr="005B3BF3">
        <w:rPr>
          <w:rFonts w:ascii="Aptos" w:hAnsi="Aptos"/>
          <w:color w:val="1B1B1B"/>
          <w:sz w:val="22"/>
          <w:szCs w:val="22"/>
        </w:rPr>
        <w:t xml:space="preserve">DWDB </w:t>
      </w:r>
      <w:r w:rsidRPr="005B3BF3">
        <w:rPr>
          <w:rFonts w:ascii="Aptos" w:hAnsi="Aptos"/>
          <w:color w:val="1B1B1B"/>
          <w:sz w:val="22"/>
          <w:szCs w:val="22"/>
        </w:rPr>
        <w:t xml:space="preserve">will take into consideration information reported to </w:t>
      </w:r>
      <w:r w:rsidRPr="005B3BF3">
        <w:rPr>
          <w:rFonts w:ascii="Aptos" w:hAnsi="Aptos"/>
          <w:sz w:val="22"/>
          <w:szCs w:val="22"/>
        </w:rPr>
        <w:t xml:space="preserve">State agencies on Federal and State training programs other than programs within WIOA </w:t>
      </w:r>
      <w:r w:rsidR="00EB683B" w:rsidRPr="005B3BF3">
        <w:rPr>
          <w:rFonts w:ascii="Aptos" w:hAnsi="Aptos"/>
          <w:sz w:val="22"/>
          <w:szCs w:val="22"/>
        </w:rPr>
        <w:t>T</w:t>
      </w:r>
      <w:r w:rsidRPr="005B3BF3">
        <w:rPr>
          <w:rFonts w:ascii="Aptos" w:hAnsi="Aptos"/>
          <w:sz w:val="22"/>
          <w:szCs w:val="22"/>
        </w:rPr>
        <w:t>itle I, subtitle B. </w:t>
      </w:r>
      <w:r w:rsidR="009B6E59" w:rsidRPr="005B3BF3">
        <w:rPr>
          <w:rFonts w:ascii="Aptos" w:hAnsi="Aptos" w:cs="Open Sans"/>
          <w:sz w:val="22"/>
          <w:szCs w:val="22"/>
        </w:rPr>
        <w:t xml:space="preserve">Eligible training providers receive initial eligibility for only </w:t>
      </w:r>
      <w:r w:rsidR="00EB683B" w:rsidRPr="005B3BF3">
        <w:rPr>
          <w:rFonts w:ascii="Aptos" w:hAnsi="Aptos" w:cs="Open Sans"/>
          <w:sz w:val="22"/>
          <w:szCs w:val="22"/>
        </w:rPr>
        <w:t xml:space="preserve">one </w:t>
      </w:r>
      <w:r w:rsidR="009B6E59" w:rsidRPr="005B3BF3">
        <w:rPr>
          <w:rFonts w:ascii="Aptos" w:hAnsi="Aptos" w:cs="Open Sans"/>
          <w:sz w:val="22"/>
          <w:szCs w:val="22"/>
        </w:rPr>
        <w:t xml:space="preserve">year for a particular program. Reference: </w:t>
      </w:r>
      <w:hyperlink r:id="rId7" w:history="1">
        <w:r w:rsidR="009B6E59" w:rsidRPr="005B3BF3">
          <w:rPr>
            <w:rStyle w:val="Hyperlink"/>
            <w:rFonts w:ascii="Aptos" w:hAnsi="Aptos" w:cs="Open Sans"/>
            <w:color w:val="auto"/>
            <w:sz w:val="22"/>
            <w:szCs w:val="22"/>
            <w:u w:val="none"/>
          </w:rPr>
          <w:t>WIOA</w:t>
        </w:r>
      </w:hyperlink>
      <w:r w:rsidR="009B6E59" w:rsidRPr="005B3BF3">
        <w:rPr>
          <w:rFonts w:ascii="Aptos" w:hAnsi="Aptos" w:cs="Open Sans"/>
          <w:sz w:val="22"/>
          <w:szCs w:val="22"/>
        </w:rPr>
        <w:t> </w:t>
      </w:r>
      <w:r w:rsidR="00EB683B" w:rsidRPr="005B3BF3">
        <w:rPr>
          <w:rFonts w:ascii="Aptos" w:hAnsi="Aptos" w:cs="Open Sans"/>
          <w:sz w:val="22"/>
          <w:szCs w:val="22"/>
        </w:rPr>
        <w:t>§ </w:t>
      </w:r>
      <w:r w:rsidR="009B6E59" w:rsidRPr="005B3BF3">
        <w:rPr>
          <w:rFonts w:ascii="Aptos" w:hAnsi="Aptos" w:cs="Open Sans"/>
          <w:sz w:val="22"/>
          <w:szCs w:val="22"/>
        </w:rPr>
        <w:t>122(b)(4)(B).</w:t>
      </w:r>
    </w:p>
    <w:p w14:paraId="32E45307" w14:textId="234AECDD" w:rsidR="0027353C" w:rsidRPr="005B3BF3" w:rsidRDefault="009B6E59" w:rsidP="009B6E59">
      <w:pPr>
        <w:pStyle w:val="psection-1"/>
        <w:shd w:val="clear" w:color="auto" w:fill="FFFFFF"/>
        <w:spacing w:before="150" w:beforeAutospacing="0" w:after="150" w:afterAutospacing="0"/>
        <w:rPr>
          <w:rFonts w:ascii="Aptos" w:hAnsi="Aptos" w:cs="Open Sans"/>
          <w:sz w:val="22"/>
          <w:szCs w:val="22"/>
        </w:rPr>
      </w:pPr>
      <w:r w:rsidRPr="005B3BF3">
        <w:rPr>
          <w:rFonts w:ascii="Aptos" w:hAnsi="Aptos" w:cs="Open Sans"/>
          <w:sz w:val="22"/>
          <w:szCs w:val="22"/>
        </w:rPr>
        <w:t>After the initial eligibility expires, the initially </w:t>
      </w:r>
      <w:hyperlink r:id="rId8" w:history="1">
        <w:r w:rsidRPr="005B3BF3">
          <w:rPr>
            <w:rStyle w:val="Hyperlink"/>
            <w:rFonts w:ascii="Aptos" w:hAnsi="Aptos" w:cs="Open Sans"/>
            <w:color w:val="auto"/>
            <w:sz w:val="22"/>
            <w:szCs w:val="22"/>
            <w:u w:val="none"/>
          </w:rPr>
          <w:t>eligible</w:t>
        </w:r>
      </w:hyperlink>
      <w:r w:rsidRPr="005B3BF3">
        <w:rPr>
          <w:rFonts w:ascii="Aptos" w:hAnsi="Aptos" w:cs="Open Sans"/>
          <w:sz w:val="22"/>
          <w:szCs w:val="22"/>
        </w:rPr>
        <w:t> training providers are subject to the </w:t>
      </w:r>
      <w:hyperlink r:id="rId9" w:history="1">
        <w:r w:rsidRPr="005B3BF3">
          <w:rPr>
            <w:rStyle w:val="Hyperlink"/>
            <w:rFonts w:ascii="Aptos" w:hAnsi="Aptos" w:cs="Open Sans"/>
            <w:color w:val="auto"/>
            <w:sz w:val="22"/>
            <w:szCs w:val="22"/>
            <w:u w:val="none"/>
          </w:rPr>
          <w:t>Governor</w:t>
        </w:r>
      </w:hyperlink>
      <w:r w:rsidRPr="005B3BF3">
        <w:rPr>
          <w:rFonts w:ascii="Aptos" w:hAnsi="Aptos" w:cs="Open Sans"/>
          <w:sz w:val="22"/>
          <w:szCs w:val="22"/>
        </w:rPr>
        <w:t xml:space="preserve">'s application procedures for continued eligibility. Reference: </w:t>
      </w:r>
      <w:hyperlink r:id="rId10" w:history="1">
        <w:r w:rsidRPr="005B3BF3">
          <w:rPr>
            <w:rStyle w:val="Hyperlink"/>
            <w:rFonts w:ascii="Aptos" w:hAnsi="Aptos" w:cs="Open Sans"/>
            <w:color w:val="auto"/>
            <w:sz w:val="22"/>
            <w:szCs w:val="22"/>
            <w:u w:val="none"/>
          </w:rPr>
          <w:t>§</w:t>
        </w:r>
        <w:r w:rsidR="003D1265" w:rsidRPr="005B3BF3">
          <w:rPr>
            <w:rStyle w:val="Hyperlink"/>
            <w:rFonts w:ascii="Aptos" w:hAnsi="Aptos" w:cs="Open Sans"/>
            <w:color w:val="auto"/>
            <w:sz w:val="22"/>
            <w:szCs w:val="22"/>
            <w:u w:val="none"/>
          </w:rPr>
          <w:t> </w:t>
        </w:r>
        <w:r w:rsidRPr="005B3BF3">
          <w:rPr>
            <w:rStyle w:val="Hyperlink"/>
            <w:rFonts w:ascii="Aptos" w:hAnsi="Aptos" w:cs="Open Sans"/>
            <w:color w:val="auto"/>
            <w:sz w:val="22"/>
            <w:szCs w:val="22"/>
            <w:u w:val="none"/>
          </w:rPr>
          <w:t>680.460</w:t>
        </w:r>
      </w:hyperlink>
      <w:r w:rsidRPr="005B3BF3">
        <w:rPr>
          <w:rFonts w:ascii="Aptos" w:hAnsi="Aptos" w:cs="Open Sans"/>
          <w:sz w:val="22"/>
          <w:szCs w:val="22"/>
        </w:rPr>
        <w:t>.</w:t>
      </w:r>
    </w:p>
    <w:p w14:paraId="34E8AFA3" w14:textId="7CD402E7" w:rsidR="00E46891" w:rsidRPr="005B3BF3" w:rsidRDefault="00E46891" w:rsidP="006C217B">
      <w:pPr>
        <w:widowControl/>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Credentials: A credential refers to an attestation of qualification or competence issued to an individual by a third party (such as an educational institution or an industry or occupational certifying organization with the relevant authority or assumed competence to issue such credential). Examples of credentials DWDB will fund include:</w:t>
      </w:r>
    </w:p>
    <w:p w14:paraId="1E1B31C3" w14:textId="30E17501" w:rsidR="00E46891" w:rsidRPr="005B3BF3" w:rsidRDefault="00E46891" w:rsidP="00E46891">
      <w:pPr>
        <w:pStyle w:val="ListParagraph"/>
        <w:widowControl/>
        <w:numPr>
          <w:ilvl w:val="0"/>
          <w:numId w:val="9"/>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 xml:space="preserve">Educational Diplomas and </w:t>
      </w:r>
      <w:r w:rsidR="00C34A8F" w:rsidRPr="005B3BF3">
        <w:rPr>
          <w:rFonts w:ascii="Aptos" w:hAnsi="Aptos"/>
          <w:color w:val="1B1B1B"/>
        </w:rPr>
        <w:t>Certificates</w:t>
      </w:r>
      <w:r w:rsidRPr="005B3BF3">
        <w:rPr>
          <w:rFonts w:ascii="Aptos" w:hAnsi="Aptos"/>
          <w:color w:val="1B1B1B"/>
        </w:rPr>
        <w:t xml:space="preserve"> (typically for one academic year or less of study);</w:t>
      </w:r>
    </w:p>
    <w:p w14:paraId="7F573E57" w14:textId="0EFAC8C8" w:rsidR="00E46891" w:rsidRPr="005B3BF3" w:rsidRDefault="00E46891" w:rsidP="00E46891">
      <w:pPr>
        <w:pStyle w:val="ListParagraph"/>
        <w:widowControl/>
        <w:numPr>
          <w:ilvl w:val="0"/>
          <w:numId w:val="9"/>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Educational Degrees, such as an associate’s (two-year) or bachelor’s (four-year) degree;</w:t>
      </w:r>
    </w:p>
    <w:p w14:paraId="58D273A4" w14:textId="21052E89" w:rsidR="00E46891" w:rsidRPr="005B3BF3" w:rsidRDefault="00E46891" w:rsidP="00E46891">
      <w:pPr>
        <w:pStyle w:val="ListParagraph"/>
        <w:widowControl/>
        <w:numPr>
          <w:ilvl w:val="0"/>
          <w:numId w:val="9"/>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lastRenderedPageBreak/>
        <w:t>Registered Apprenticeship Certificate;</w:t>
      </w:r>
    </w:p>
    <w:p w14:paraId="5B094752" w14:textId="13A9A898" w:rsidR="00E46891" w:rsidRPr="005B3BF3" w:rsidRDefault="00E46891" w:rsidP="00E46891">
      <w:pPr>
        <w:pStyle w:val="ListParagraph"/>
        <w:widowControl/>
        <w:numPr>
          <w:ilvl w:val="0"/>
          <w:numId w:val="9"/>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Occupational Licenses (typically, but not always, awarded by state government agencies);</w:t>
      </w:r>
    </w:p>
    <w:p w14:paraId="5DF9507A" w14:textId="4B900B3D" w:rsidR="00E46891" w:rsidRPr="005B3BF3" w:rsidRDefault="00E46891" w:rsidP="00E46891">
      <w:pPr>
        <w:pStyle w:val="ListParagraph"/>
        <w:widowControl/>
        <w:numPr>
          <w:ilvl w:val="0"/>
          <w:numId w:val="9"/>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Industry-recognized or professional association certifications, also known as personnel certifications; and</w:t>
      </w:r>
    </w:p>
    <w:p w14:paraId="2D18EB24" w14:textId="259D04EC" w:rsidR="00E46891" w:rsidRPr="005B3BF3" w:rsidRDefault="00E46891" w:rsidP="005B3BF3">
      <w:pPr>
        <w:pStyle w:val="ListParagraph"/>
        <w:widowControl/>
        <w:numPr>
          <w:ilvl w:val="0"/>
          <w:numId w:val="9"/>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Other certificates of skills completion.</w:t>
      </w:r>
    </w:p>
    <w:p w14:paraId="11DB2202" w14:textId="6C804217" w:rsidR="00E46891" w:rsidRPr="005B3BF3" w:rsidRDefault="00E46891" w:rsidP="00E46891">
      <w:pPr>
        <w:widowControl/>
        <w:shd w:val="clear" w:color="auto" w:fill="FFFFFF"/>
        <w:autoSpaceDE/>
        <w:autoSpaceDN/>
        <w:spacing w:before="100" w:beforeAutospacing="1" w:after="100" w:afterAutospacing="1"/>
        <w:rPr>
          <w:rFonts w:ascii="Aptos" w:hAnsi="Aptos"/>
          <w:color w:val="1B1B1B"/>
        </w:rPr>
      </w:pPr>
    </w:p>
    <w:p w14:paraId="26132AD7" w14:textId="39729EDC" w:rsidR="009B6E59" w:rsidRPr="005B3BF3" w:rsidRDefault="00B42284" w:rsidP="006C217B">
      <w:pPr>
        <w:widowControl/>
        <w:shd w:val="clear" w:color="auto" w:fill="FFFFFF"/>
        <w:autoSpaceDE/>
        <w:autoSpaceDN/>
        <w:spacing w:before="100" w:beforeAutospacing="1" w:after="100" w:afterAutospacing="1"/>
        <w:rPr>
          <w:rFonts w:ascii="Aptos" w:hAnsi="Aptos"/>
        </w:rPr>
      </w:pPr>
      <w:r w:rsidRPr="005B3BF3">
        <w:rPr>
          <w:rFonts w:ascii="Aptos" w:hAnsi="Aptos"/>
          <w:color w:val="1B1B1B"/>
        </w:rPr>
        <w:t xml:space="preserve">Registered </w:t>
      </w:r>
      <w:r w:rsidR="009B6E59" w:rsidRPr="005B3BF3">
        <w:rPr>
          <w:rFonts w:ascii="Aptos" w:hAnsi="Aptos"/>
          <w:color w:val="1B1B1B"/>
        </w:rPr>
        <w:t>Apprenticeship</w:t>
      </w:r>
      <w:r w:rsidR="00DC24B2" w:rsidRPr="005B3BF3">
        <w:rPr>
          <w:rFonts w:ascii="Aptos" w:hAnsi="Aptos"/>
          <w:color w:val="1B1B1B"/>
        </w:rPr>
        <w:t xml:space="preserve"> Programs (RAP)</w:t>
      </w:r>
      <w:r w:rsidR="009B6E59" w:rsidRPr="005B3BF3">
        <w:rPr>
          <w:rFonts w:ascii="Aptos" w:hAnsi="Aptos"/>
          <w:color w:val="1B1B1B"/>
        </w:rPr>
        <w:t xml:space="preserve">: All </w:t>
      </w:r>
      <w:r w:rsidR="00DC24B2" w:rsidRPr="005B3BF3">
        <w:rPr>
          <w:rFonts w:ascii="Aptos" w:hAnsi="Aptos"/>
          <w:color w:val="1B1B1B"/>
        </w:rPr>
        <w:t>RAPs</w:t>
      </w:r>
      <w:r w:rsidR="009B6E59" w:rsidRPr="005B3BF3">
        <w:rPr>
          <w:rFonts w:ascii="Aptos" w:hAnsi="Aptos"/>
          <w:color w:val="1B1B1B"/>
        </w:rPr>
        <w:t xml:space="preserve"> are automatically eligible to be included on the statewide ETPL. R</w:t>
      </w:r>
      <w:r w:rsidR="00004AFF" w:rsidRPr="005B3BF3">
        <w:rPr>
          <w:rFonts w:ascii="Aptos" w:hAnsi="Aptos"/>
          <w:color w:val="1B1B1B"/>
        </w:rPr>
        <w:t>A</w:t>
      </w:r>
      <w:r w:rsidR="00DC24B2" w:rsidRPr="005B3BF3">
        <w:rPr>
          <w:rFonts w:ascii="Aptos" w:hAnsi="Aptos"/>
          <w:color w:val="1B1B1B"/>
        </w:rPr>
        <w:t>Ps</w:t>
      </w:r>
      <w:r w:rsidR="00EB683B" w:rsidRPr="005B3BF3">
        <w:rPr>
          <w:rFonts w:ascii="Aptos" w:hAnsi="Aptos"/>
          <w:color w:val="1B1B1B"/>
        </w:rPr>
        <w:t xml:space="preserve"> </w:t>
      </w:r>
      <w:r w:rsidR="009B6E59" w:rsidRPr="005B3BF3">
        <w:rPr>
          <w:rFonts w:ascii="Aptos" w:hAnsi="Aptos"/>
          <w:color w:val="1B1B1B"/>
        </w:rPr>
        <w:t>are not subject to the same application</w:t>
      </w:r>
      <w:r w:rsidR="00EB683B" w:rsidRPr="005B3BF3">
        <w:rPr>
          <w:rFonts w:ascii="Aptos" w:hAnsi="Aptos"/>
          <w:color w:val="1B1B1B"/>
        </w:rPr>
        <w:t xml:space="preserve"> requirement</w:t>
      </w:r>
      <w:r w:rsidR="009B6E59" w:rsidRPr="005B3BF3">
        <w:rPr>
          <w:rFonts w:ascii="Aptos" w:hAnsi="Aptos"/>
          <w:color w:val="1B1B1B"/>
        </w:rPr>
        <w:t>, performance</w:t>
      </w:r>
      <w:r w:rsidR="00EB683B" w:rsidRPr="005B3BF3">
        <w:rPr>
          <w:rFonts w:ascii="Aptos" w:hAnsi="Aptos"/>
          <w:color w:val="1B1B1B"/>
        </w:rPr>
        <w:t>-</w:t>
      </w:r>
      <w:r w:rsidR="009B6E59" w:rsidRPr="005B3BF3">
        <w:rPr>
          <w:rFonts w:ascii="Aptos" w:hAnsi="Aptos"/>
          <w:color w:val="1B1B1B"/>
        </w:rPr>
        <w:t xml:space="preserve">information requirement, or period of initial eligibility procedures </w:t>
      </w:r>
      <w:r w:rsidR="00EB683B" w:rsidRPr="005B3BF3">
        <w:rPr>
          <w:rFonts w:ascii="Aptos" w:hAnsi="Aptos"/>
          <w:color w:val="1B1B1B"/>
        </w:rPr>
        <w:t xml:space="preserve">because </w:t>
      </w:r>
      <w:r w:rsidR="009B6E59" w:rsidRPr="005B3BF3">
        <w:rPr>
          <w:rFonts w:ascii="Aptos" w:hAnsi="Aptos"/>
          <w:color w:val="1B1B1B"/>
        </w:rPr>
        <w:t xml:space="preserve">they have already gone through a detailed application and vetting process. </w:t>
      </w:r>
      <w:r w:rsidR="008B221D" w:rsidRPr="005B3BF3">
        <w:rPr>
          <w:rFonts w:ascii="Aptos" w:hAnsi="Aptos"/>
        </w:rPr>
        <w:t>RAPs must opt-in to the ETPL</w:t>
      </w:r>
      <w:r w:rsidR="008B221D" w:rsidRPr="005B3BF3">
        <w:rPr>
          <w:rFonts w:ascii="Aptos" w:hAnsi="Aptos"/>
          <w:color w:val="1B1B1B"/>
        </w:rPr>
        <w:t xml:space="preserve">. </w:t>
      </w:r>
      <w:r w:rsidR="009B6E59" w:rsidRPr="005B3BF3">
        <w:rPr>
          <w:rFonts w:ascii="Aptos" w:hAnsi="Aptos"/>
          <w:color w:val="1B1B1B"/>
        </w:rPr>
        <w:t xml:space="preserve">Reference: </w:t>
      </w:r>
      <w:r w:rsidR="009B6E59" w:rsidRPr="005B3BF3">
        <w:rPr>
          <w:rFonts w:ascii="Aptos" w:hAnsi="Aptos"/>
        </w:rPr>
        <w:t xml:space="preserve">20 CFR </w:t>
      </w:r>
      <w:r w:rsidR="009B6E59" w:rsidRPr="005B3BF3">
        <w:rPr>
          <w:rFonts w:ascii="Aptos" w:hAnsi="Aptos" w:cs="Open Sans"/>
          <w:color w:val="333333"/>
          <w:shd w:val="clear" w:color="auto" w:fill="FFFFFF"/>
        </w:rPr>
        <w:t>§ 680.470</w:t>
      </w:r>
      <w:r w:rsidR="009B6E59" w:rsidRPr="005B3BF3">
        <w:rPr>
          <w:rFonts w:ascii="Aptos" w:hAnsi="Aptos"/>
        </w:rPr>
        <w:t>.</w:t>
      </w:r>
      <w:r w:rsidR="00DC24B2" w:rsidRPr="005B3BF3">
        <w:rPr>
          <w:rFonts w:ascii="Aptos" w:hAnsi="Aptos"/>
        </w:rPr>
        <w:t xml:space="preserve"> </w:t>
      </w:r>
    </w:p>
    <w:p w14:paraId="4D39FCB7" w14:textId="7D452001" w:rsidR="009B6E59" w:rsidRPr="005B3BF3" w:rsidRDefault="009B6E59" w:rsidP="006C217B">
      <w:pPr>
        <w:widowControl/>
        <w:shd w:val="clear" w:color="auto" w:fill="FFFFFF"/>
        <w:autoSpaceDE/>
        <w:autoSpaceDN/>
        <w:spacing w:before="100" w:beforeAutospacing="1" w:after="100" w:afterAutospacing="1"/>
        <w:rPr>
          <w:rFonts w:ascii="Aptos" w:hAnsi="Aptos"/>
        </w:rPr>
      </w:pPr>
      <w:r w:rsidRPr="005B3BF3">
        <w:rPr>
          <w:rFonts w:ascii="Aptos" w:hAnsi="Aptos"/>
        </w:rPr>
        <w:t>The information required for an RA</w:t>
      </w:r>
      <w:r w:rsidR="008B221D" w:rsidRPr="005B3BF3">
        <w:rPr>
          <w:rFonts w:ascii="Aptos" w:hAnsi="Aptos"/>
        </w:rPr>
        <w:t>P</w:t>
      </w:r>
      <w:r w:rsidRPr="005B3BF3">
        <w:rPr>
          <w:rFonts w:ascii="Aptos" w:hAnsi="Aptos"/>
        </w:rPr>
        <w:t xml:space="preserve"> to be added to the ETPL is: </w:t>
      </w:r>
    </w:p>
    <w:p w14:paraId="17F33215" w14:textId="12747666" w:rsidR="008B221D" w:rsidRPr="005B3BF3" w:rsidRDefault="008B221D" w:rsidP="008B221D">
      <w:pPr>
        <w:pStyle w:val="ListParagraph"/>
        <w:widowControl/>
        <w:numPr>
          <w:ilvl w:val="0"/>
          <w:numId w:val="10"/>
        </w:numPr>
        <w:shd w:val="clear" w:color="auto" w:fill="FFFFFF"/>
        <w:autoSpaceDE/>
        <w:autoSpaceDN/>
        <w:spacing w:before="100" w:beforeAutospacing="1" w:after="100" w:afterAutospacing="1"/>
        <w:rPr>
          <w:rFonts w:ascii="Aptos" w:hAnsi="Aptos"/>
        </w:rPr>
      </w:pPr>
      <w:r w:rsidRPr="005B3BF3">
        <w:rPr>
          <w:rFonts w:ascii="Aptos" w:hAnsi="Aptos"/>
        </w:rPr>
        <w:t>Sponsor name</w:t>
      </w:r>
    </w:p>
    <w:p w14:paraId="3E33F7C4" w14:textId="1195588F" w:rsidR="008B221D" w:rsidRPr="005B3BF3" w:rsidRDefault="008B221D" w:rsidP="008B221D">
      <w:pPr>
        <w:pStyle w:val="ListParagraph"/>
        <w:widowControl/>
        <w:numPr>
          <w:ilvl w:val="0"/>
          <w:numId w:val="10"/>
        </w:numPr>
        <w:shd w:val="clear" w:color="auto" w:fill="FFFFFF"/>
        <w:autoSpaceDE/>
        <w:autoSpaceDN/>
        <w:spacing w:before="100" w:beforeAutospacing="1" w:after="100" w:afterAutospacing="1"/>
        <w:rPr>
          <w:rFonts w:ascii="Aptos" w:hAnsi="Aptos"/>
        </w:rPr>
      </w:pPr>
      <w:r w:rsidRPr="005B3BF3">
        <w:rPr>
          <w:rFonts w:ascii="Aptos" w:hAnsi="Aptos"/>
        </w:rPr>
        <w:t>Sponsor address</w:t>
      </w:r>
    </w:p>
    <w:p w14:paraId="4144297A" w14:textId="259EED23" w:rsidR="008B221D" w:rsidRPr="005B3BF3" w:rsidRDefault="008B221D" w:rsidP="008B221D">
      <w:pPr>
        <w:pStyle w:val="ListParagraph"/>
        <w:widowControl/>
        <w:numPr>
          <w:ilvl w:val="0"/>
          <w:numId w:val="10"/>
        </w:numPr>
        <w:shd w:val="clear" w:color="auto" w:fill="FFFFFF"/>
        <w:autoSpaceDE/>
        <w:autoSpaceDN/>
        <w:spacing w:before="100" w:beforeAutospacing="1" w:after="100" w:afterAutospacing="1"/>
        <w:rPr>
          <w:rFonts w:ascii="Aptos" w:hAnsi="Aptos"/>
        </w:rPr>
      </w:pPr>
      <w:r w:rsidRPr="005B3BF3">
        <w:rPr>
          <w:rFonts w:ascii="Aptos" w:hAnsi="Aptos"/>
        </w:rPr>
        <w:t>Sponsor phone number</w:t>
      </w:r>
    </w:p>
    <w:p w14:paraId="1BC4BA2E" w14:textId="06C8DF44" w:rsidR="008B221D" w:rsidRPr="005B3BF3" w:rsidRDefault="008B221D" w:rsidP="008B221D">
      <w:pPr>
        <w:pStyle w:val="ListParagraph"/>
        <w:widowControl/>
        <w:numPr>
          <w:ilvl w:val="0"/>
          <w:numId w:val="10"/>
        </w:numPr>
        <w:shd w:val="clear" w:color="auto" w:fill="FFFFFF"/>
        <w:autoSpaceDE/>
        <w:autoSpaceDN/>
        <w:spacing w:before="100" w:beforeAutospacing="1" w:after="100" w:afterAutospacing="1"/>
        <w:rPr>
          <w:rFonts w:ascii="Aptos" w:hAnsi="Aptos"/>
        </w:rPr>
      </w:pPr>
      <w:r w:rsidRPr="005B3BF3">
        <w:rPr>
          <w:rFonts w:ascii="Aptos" w:hAnsi="Aptos"/>
        </w:rPr>
        <w:t>Contact name and title</w:t>
      </w:r>
    </w:p>
    <w:p w14:paraId="3CF48FD2" w14:textId="3FD7198A" w:rsidR="008B221D" w:rsidRPr="005B3BF3" w:rsidRDefault="008B221D" w:rsidP="008B221D">
      <w:pPr>
        <w:pStyle w:val="ListParagraph"/>
        <w:widowControl/>
        <w:numPr>
          <w:ilvl w:val="0"/>
          <w:numId w:val="10"/>
        </w:numPr>
        <w:shd w:val="clear" w:color="auto" w:fill="FFFFFF"/>
        <w:autoSpaceDE/>
        <w:autoSpaceDN/>
        <w:spacing w:before="100" w:beforeAutospacing="1" w:after="100" w:afterAutospacing="1"/>
        <w:rPr>
          <w:rFonts w:ascii="Aptos" w:hAnsi="Aptos"/>
        </w:rPr>
      </w:pPr>
      <w:r w:rsidRPr="005B3BF3">
        <w:rPr>
          <w:rFonts w:ascii="Aptos" w:hAnsi="Aptos"/>
        </w:rPr>
        <w:t>Contact number</w:t>
      </w:r>
    </w:p>
    <w:p w14:paraId="53B61102" w14:textId="336A240A" w:rsidR="008B221D" w:rsidRPr="005B3BF3" w:rsidRDefault="008B221D" w:rsidP="008B221D">
      <w:pPr>
        <w:pStyle w:val="ListParagraph"/>
        <w:widowControl/>
        <w:numPr>
          <w:ilvl w:val="0"/>
          <w:numId w:val="10"/>
        </w:numPr>
        <w:shd w:val="clear" w:color="auto" w:fill="FFFFFF"/>
        <w:autoSpaceDE/>
        <w:autoSpaceDN/>
        <w:spacing w:before="100" w:beforeAutospacing="1" w:after="100" w:afterAutospacing="1"/>
        <w:rPr>
          <w:rFonts w:ascii="Aptos" w:hAnsi="Aptos"/>
        </w:rPr>
      </w:pPr>
      <w:r w:rsidRPr="005B3BF3">
        <w:rPr>
          <w:rFonts w:ascii="Aptos" w:hAnsi="Aptos"/>
        </w:rPr>
        <w:t>Occupation(s) included in the RAP</w:t>
      </w:r>
    </w:p>
    <w:p w14:paraId="4DB78357" w14:textId="57CAFEE8" w:rsidR="008B221D" w:rsidRPr="005B3BF3" w:rsidRDefault="008B221D" w:rsidP="008B221D">
      <w:pPr>
        <w:pStyle w:val="ListParagraph"/>
        <w:widowControl/>
        <w:numPr>
          <w:ilvl w:val="0"/>
          <w:numId w:val="10"/>
        </w:numPr>
        <w:shd w:val="clear" w:color="auto" w:fill="FFFFFF"/>
        <w:autoSpaceDE/>
        <w:autoSpaceDN/>
        <w:spacing w:before="100" w:beforeAutospacing="1" w:after="100" w:afterAutospacing="1"/>
        <w:rPr>
          <w:rFonts w:ascii="Aptos" w:hAnsi="Aptos"/>
        </w:rPr>
      </w:pPr>
      <w:r w:rsidRPr="005B3BF3">
        <w:rPr>
          <w:rFonts w:ascii="Aptos" w:hAnsi="Aptos"/>
        </w:rPr>
        <w:t>Name and Address of the Related Technical Instruction provider (if different from the sponsor’s name and address)</w:t>
      </w:r>
    </w:p>
    <w:p w14:paraId="20B77164" w14:textId="10610173" w:rsidR="008B221D" w:rsidRPr="005B3BF3" w:rsidRDefault="008B221D" w:rsidP="008B221D">
      <w:pPr>
        <w:pStyle w:val="ListParagraph"/>
        <w:widowControl/>
        <w:numPr>
          <w:ilvl w:val="0"/>
          <w:numId w:val="10"/>
        </w:numPr>
        <w:shd w:val="clear" w:color="auto" w:fill="FFFFFF"/>
        <w:autoSpaceDE/>
        <w:autoSpaceDN/>
        <w:spacing w:before="100" w:beforeAutospacing="1" w:after="100" w:afterAutospacing="1"/>
        <w:rPr>
          <w:rFonts w:ascii="Aptos" w:hAnsi="Aptos"/>
        </w:rPr>
      </w:pPr>
      <w:r w:rsidRPr="005B3BF3">
        <w:rPr>
          <w:rFonts w:ascii="Aptos" w:hAnsi="Aptos"/>
        </w:rPr>
        <w:t>The method and length of instruction</w:t>
      </w:r>
    </w:p>
    <w:p w14:paraId="0BF3A5AD" w14:textId="2E1B4D4F" w:rsidR="008B221D" w:rsidRPr="005B3BF3" w:rsidRDefault="008B221D" w:rsidP="005B3BF3">
      <w:pPr>
        <w:pStyle w:val="ListParagraph"/>
        <w:widowControl/>
        <w:numPr>
          <w:ilvl w:val="0"/>
          <w:numId w:val="10"/>
        </w:numPr>
        <w:shd w:val="clear" w:color="auto" w:fill="FFFFFF"/>
        <w:autoSpaceDE/>
        <w:autoSpaceDN/>
        <w:spacing w:before="100" w:beforeAutospacing="1" w:after="100" w:afterAutospacing="1"/>
        <w:rPr>
          <w:rFonts w:ascii="Aptos" w:hAnsi="Aptos"/>
        </w:rPr>
      </w:pPr>
      <w:r w:rsidRPr="005B3BF3">
        <w:rPr>
          <w:rFonts w:ascii="Aptos" w:hAnsi="Aptos"/>
        </w:rPr>
        <w:t>The number of apprentices (active, non-active, all)</w:t>
      </w:r>
    </w:p>
    <w:p w14:paraId="2251AD40" w14:textId="77777777" w:rsidR="008B221D" w:rsidRPr="005B3BF3" w:rsidRDefault="008B221D" w:rsidP="00D4515D">
      <w:pPr>
        <w:widowControl/>
        <w:shd w:val="clear" w:color="auto" w:fill="FFFFFF"/>
        <w:autoSpaceDE/>
        <w:autoSpaceDN/>
        <w:spacing w:before="100" w:beforeAutospacing="1" w:after="100" w:afterAutospacing="1"/>
        <w:rPr>
          <w:rFonts w:ascii="Aptos" w:hAnsi="Aptos"/>
        </w:rPr>
      </w:pPr>
    </w:p>
    <w:p w14:paraId="6620BB91" w14:textId="6C5F6279" w:rsidR="00D4515D" w:rsidRPr="005B3BF3" w:rsidRDefault="00D4515D" w:rsidP="00D4515D">
      <w:pPr>
        <w:widowControl/>
        <w:shd w:val="clear" w:color="auto" w:fill="FFFFFF"/>
        <w:autoSpaceDE/>
        <w:autoSpaceDN/>
        <w:spacing w:before="100" w:beforeAutospacing="1" w:after="100" w:afterAutospacing="1"/>
        <w:rPr>
          <w:rFonts w:ascii="Aptos" w:hAnsi="Aptos"/>
        </w:rPr>
      </w:pPr>
      <w:r w:rsidRPr="005B3BF3">
        <w:rPr>
          <w:rFonts w:ascii="Aptos" w:hAnsi="Aptos"/>
        </w:rPr>
        <w:t>Out of state training providers: The DWDB will only accept applications from training providers whose training facility is located out of state if:</w:t>
      </w:r>
    </w:p>
    <w:p w14:paraId="4015FD70" w14:textId="61BC0552" w:rsidR="00D4515D" w:rsidRPr="005B3BF3" w:rsidRDefault="00D4515D" w:rsidP="00D4515D">
      <w:pPr>
        <w:pStyle w:val="ListParagraph"/>
        <w:widowControl/>
        <w:numPr>
          <w:ilvl w:val="0"/>
          <w:numId w:val="7"/>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The training provider and program is listed on the home state’s ETPL</w:t>
      </w:r>
      <w:r w:rsidR="003D1265" w:rsidRPr="005B3BF3">
        <w:rPr>
          <w:rFonts w:ascii="Aptos" w:hAnsi="Aptos"/>
          <w:color w:val="1B1B1B"/>
        </w:rPr>
        <w:t>; and</w:t>
      </w:r>
    </w:p>
    <w:p w14:paraId="10001685" w14:textId="05250784" w:rsidR="00D4515D" w:rsidRPr="005B3BF3" w:rsidRDefault="00F540AE" w:rsidP="00D4515D">
      <w:pPr>
        <w:pStyle w:val="ListParagraph"/>
        <w:widowControl/>
        <w:numPr>
          <w:ilvl w:val="0"/>
          <w:numId w:val="7"/>
        </w:numPr>
        <w:shd w:val="clear" w:color="auto" w:fill="FFFFFF"/>
        <w:autoSpaceDE/>
        <w:autoSpaceDN/>
        <w:spacing w:before="100" w:beforeAutospacing="1" w:after="100" w:afterAutospacing="1"/>
        <w:rPr>
          <w:rFonts w:ascii="Aptos" w:hAnsi="Aptos"/>
          <w:color w:val="1B1B1B"/>
        </w:rPr>
      </w:pPr>
      <w:r w:rsidRPr="005B3BF3">
        <w:rPr>
          <w:rFonts w:ascii="Aptos" w:hAnsi="Aptos"/>
          <w:color w:val="1B1B1B"/>
        </w:rPr>
        <w:t xml:space="preserve">A </w:t>
      </w:r>
      <w:r w:rsidR="00D4515D" w:rsidRPr="005B3BF3">
        <w:rPr>
          <w:rFonts w:ascii="Aptos" w:hAnsi="Aptos"/>
          <w:color w:val="1B1B1B"/>
        </w:rPr>
        <w:t xml:space="preserve">Delaware </w:t>
      </w:r>
      <w:r w:rsidRPr="005B3BF3">
        <w:rPr>
          <w:rFonts w:ascii="Aptos" w:hAnsi="Aptos"/>
          <w:color w:val="1B1B1B"/>
        </w:rPr>
        <w:t xml:space="preserve">provider </w:t>
      </w:r>
      <w:r w:rsidR="00D4515D" w:rsidRPr="005B3BF3">
        <w:rPr>
          <w:rFonts w:ascii="Aptos" w:hAnsi="Aptos"/>
          <w:color w:val="1B1B1B"/>
        </w:rPr>
        <w:t>does not offer the training.</w:t>
      </w:r>
    </w:p>
    <w:p w14:paraId="2FC6EFD1" w14:textId="5EE2B8BB" w:rsidR="006E22CE" w:rsidRPr="005B3BF3" w:rsidRDefault="006E22CE" w:rsidP="006E22CE">
      <w:pPr>
        <w:rPr>
          <w:rFonts w:ascii="Aptos" w:hAnsi="Aptos"/>
          <w:color w:val="1B1B1B"/>
        </w:rPr>
      </w:pPr>
      <w:r w:rsidRPr="005B3BF3">
        <w:rPr>
          <w:rFonts w:ascii="Aptos" w:hAnsi="Aptos"/>
          <w:color w:val="1B1B1B"/>
        </w:rPr>
        <w:t>DWDB will evaluate new out</w:t>
      </w:r>
      <w:r w:rsidR="003D1265" w:rsidRPr="005B3BF3">
        <w:rPr>
          <w:rFonts w:ascii="Aptos" w:hAnsi="Aptos"/>
          <w:color w:val="1B1B1B"/>
        </w:rPr>
        <w:t>-</w:t>
      </w:r>
      <w:r w:rsidRPr="005B3BF3">
        <w:rPr>
          <w:rFonts w:ascii="Aptos" w:hAnsi="Aptos"/>
          <w:color w:val="1B1B1B"/>
        </w:rPr>
        <w:t>of</w:t>
      </w:r>
      <w:r w:rsidR="003D1265" w:rsidRPr="005B3BF3">
        <w:rPr>
          <w:rFonts w:ascii="Aptos" w:hAnsi="Aptos"/>
          <w:color w:val="1B1B1B"/>
        </w:rPr>
        <w:t>-</w:t>
      </w:r>
      <w:r w:rsidRPr="005B3BF3">
        <w:rPr>
          <w:rFonts w:ascii="Aptos" w:hAnsi="Aptos"/>
          <w:color w:val="1B1B1B"/>
        </w:rPr>
        <w:t xml:space="preserve">state provider applications on a case-by-case basis. </w:t>
      </w:r>
    </w:p>
    <w:p w14:paraId="1DFED3D0" w14:textId="77777777" w:rsidR="00581127" w:rsidRPr="005B3BF3" w:rsidRDefault="00581127" w:rsidP="0027353C">
      <w:pPr>
        <w:rPr>
          <w:rFonts w:ascii="Aptos" w:hAnsi="Aptos"/>
        </w:rPr>
      </w:pPr>
    </w:p>
    <w:p w14:paraId="1A2F3115" w14:textId="77777777" w:rsidR="00581127" w:rsidRPr="005B3BF3" w:rsidRDefault="00581127" w:rsidP="0027353C">
      <w:pPr>
        <w:rPr>
          <w:rFonts w:ascii="Aptos" w:hAnsi="Aptos"/>
        </w:rPr>
      </w:pPr>
    </w:p>
    <w:p w14:paraId="4040201A" w14:textId="77777777" w:rsidR="00581127" w:rsidRPr="005B3BF3" w:rsidRDefault="00581127" w:rsidP="0027353C">
      <w:pPr>
        <w:rPr>
          <w:rFonts w:ascii="Aptos" w:hAnsi="Aptos"/>
        </w:rPr>
      </w:pPr>
    </w:p>
    <w:p w14:paraId="762593DA" w14:textId="77777777" w:rsidR="00581127" w:rsidRPr="005B3BF3" w:rsidRDefault="00581127" w:rsidP="0027353C">
      <w:pPr>
        <w:rPr>
          <w:rFonts w:ascii="Aptos" w:hAnsi="Aptos"/>
        </w:rPr>
      </w:pPr>
    </w:p>
    <w:p w14:paraId="6D98C1C5" w14:textId="77777777" w:rsidR="00581127" w:rsidRPr="005B3BF3" w:rsidRDefault="00581127" w:rsidP="0027353C">
      <w:pPr>
        <w:rPr>
          <w:rFonts w:ascii="Aptos" w:hAnsi="Aptos"/>
        </w:rPr>
      </w:pPr>
    </w:p>
    <w:p w14:paraId="1E21B23B" w14:textId="77777777" w:rsidR="00581127" w:rsidRPr="005B3BF3" w:rsidRDefault="00581127" w:rsidP="0027353C">
      <w:pPr>
        <w:rPr>
          <w:rFonts w:ascii="Aptos" w:hAnsi="Aptos"/>
        </w:rPr>
      </w:pPr>
    </w:p>
    <w:p w14:paraId="7B943DDB" w14:textId="77777777" w:rsidR="00581127" w:rsidRPr="005B3BF3" w:rsidRDefault="00581127" w:rsidP="0027353C">
      <w:pPr>
        <w:rPr>
          <w:rFonts w:ascii="Aptos" w:hAnsi="Aptos"/>
        </w:rPr>
      </w:pPr>
    </w:p>
    <w:p w14:paraId="5B718737" w14:textId="77777777" w:rsidR="005B3BF3" w:rsidRPr="005B3BF3" w:rsidRDefault="005B3BF3" w:rsidP="0027353C">
      <w:pPr>
        <w:rPr>
          <w:rFonts w:ascii="Aptos" w:hAnsi="Aptos"/>
        </w:rPr>
      </w:pPr>
      <w:bookmarkStart w:id="0" w:name="_Hlk152234701"/>
    </w:p>
    <w:p w14:paraId="68A6289D" w14:textId="77777777" w:rsidR="005B3BF3" w:rsidRPr="005B3BF3" w:rsidRDefault="005B3BF3" w:rsidP="0027353C">
      <w:pPr>
        <w:rPr>
          <w:rFonts w:ascii="Aptos" w:hAnsi="Aptos"/>
        </w:rPr>
      </w:pPr>
    </w:p>
    <w:p w14:paraId="27C40F0A" w14:textId="2D5D2020" w:rsidR="0027353C" w:rsidRPr="005B3BF3" w:rsidRDefault="0027353C" w:rsidP="0027353C">
      <w:pPr>
        <w:rPr>
          <w:rFonts w:ascii="Aptos" w:hAnsi="Aptos"/>
        </w:rPr>
      </w:pPr>
      <w:r w:rsidRPr="005B3BF3">
        <w:rPr>
          <w:rFonts w:ascii="Aptos" w:hAnsi="Aptos"/>
        </w:rPr>
        <w:t xml:space="preserve">Policy Review Date: </w:t>
      </w:r>
      <w:r w:rsidR="00F5737A" w:rsidRPr="005B3BF3">
        <w:rPr>
          <w:rFonts w:ascii="Aptos" w:hAnsi="Aptos"/>
        </w:rPr>
        <w:t>November</w:t>
      </w:r>
      <w:r w:rsidR="007C6DDD" w:rsidRPr="005B3BF3">
        <w:rPr>
          <w:rFonts w:ascii="Aptos" w:hAnsi="Aptos"/>
        </w:rPr>
        <w:t xml:space="preserve"> 2024</w:t>
      </w:r>
    </w:p>
    <w:p w14:paraId="0FDB6AA2" w14:textId="5A75E7D4" w:rsidR="002819DC" w:rsidRPr="005B3BF3" w:rsidRDefault="0027353C" w:rsidP="00F5737A">
      <w:pPr>
        <w:widowControl/>
        <w:shd w:val="clear" w:color="auto" w:fill="FFFFFF"/>
        <w:autoSpaceDE/>
        <w:autoSpaceDN/>
        <w:rPr>
          <w:rFonts w:ascii="Aptos" w:hAnsi="Aptos"/>
          <w:color w:val="1B1B1B"/>
        </w:rPr>
      </w:pPr>
      <w:r w:rsidRPr="005B3BF3">
        <w:rPr>
          <w:rFonts w:ascii="Aptos" w:hAnsi="Aptos"/>
        </w:rPr>
        <w:t>Board Adoption Date:</w:t>
      </w:r>
      <w:r w:rsidR="007C6DDD" w:rsidRPr="005B3BF3">
        <w:rPr>
          <w:rFonts w:ascii="Aptos" w:hAnsi="Aptos"/>
        </w:rPr>
        <w:t xml:space="preserve"> </w:t>
      </w:r>
      <w:bookmarkEnd w:id="0"/>
      <w:r w:rsidR="005B3BF3" w:rsidRPr="005B3BF3">
        <w:rPr>
          <w:rFonts w:ascii="Aptos" w:hAnsi="Aptos"/>
        </w:rPr>
        <w:t>December 10, 2024</w:t>
      </w:r>
    </w:p>
    <w:sectPr w:rsidR="002819DC" w:rsidRPr="005B3BF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6CA0" w14:textId="77777777" w:rsidR="00353B15" w:rsidRDefault="00353B15" w:rsidP="008309A5">
      <w:r>
        <w:separator/>
      </w:r>
    </w:p>
  </w:endnote>
  <w:endnote w:type="continuationSeparator" w:id="0">
    <w:p w14:paraId="2E0F8BB6" w14:textId="77777777" w:rsidR="00353B15" w:rsidRDefault="00353B15" w:rsidP="0083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5C6D" w14:textId="77777777" w:rsidR="008309A5" w:rsidRDefault="00830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381A" w14:textId="77777777" w:rsidR="008309A5" w:rsidRDefault="008309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101A" w14:textId="77777777" w:rsidR="008309A5" w:rsidRDefault="00830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2568" w14:textId="77777777" w:rsidR="00353B15" w:rsidRDefault="00353B15" w:rsidP="008309A5">
      <w:r>
        <w:separator/>
      </w:r>
    </w:p>
  </w:footnote>
  <w:footnote w:type="continuationSeparator" w:id="0">
    <w:p w14:paraId="3DD98D40" w14:textId="77777777" w:rsidR="00353B15" w:rsidRDefault="00353B15" w:rsidP="00830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705D" w14:textId="77777777" w:rsidR="008309A5" w:rsidRDefault="00830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BD95" w14:textId="2BEFF9A3" w:rsidR="008309A5" w:rsidRDefault="00830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0DAD" w14:textId="77777777" w:rsidR="008309A5" w:rsidRDefault="00830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D90"/>
    <w:multiLevelType w:val="multilevel"/>
    <w:tmpl w:val="A81C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F59DD"/>
    <w:multiLevelType w:val="hybridMultilevel"/>
    <w:tmpl w:val="65283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34B86"/>
    <w:multiLevelType w:val="multilevel"/>
    <w:tmpl w:val="1EFE5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3610B"/>
    <w:multiLevelType w:val="hybridMultilevel"/>
    <w:tmpl w:val="2806B3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123A3"/>
    <w:multiLevelType w:val="hybridMultilevel"/>
    <w:tmpl w:val="B8122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517B6"/>
    <w:multiLevelType w:val="multilevel"/>
    <w:tmpl w:val="A24CE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CB768B"/>
    <w:multiLevelType w:val="hybridMultilevel"/>
    <w:tmpl w:val="386E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9C6A4A"/>
    <w:multiLevelType w:val="hybridMultilevel"/>
    <w:tmpl w:val="CED8E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B31426"/>
    <w:multiLevelType w:val="hybridMultilevel"/>
    <w:tmpl w:val="4560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BD2301"/>
    <w:multiLevelType w:val="multilevel"/>
    <w:tmpl w:val="304AE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4544372">
    <w:abstractNumId w:val="9"/>
  </w:num>
  <w:num w:numId="2" w16cid:durableId="1538549048">
    <w:abstractNumId w:val="0"/>
  </w:num>
  <w:num w:numId="3" w16cid:durableId="1349714898">
    <w:abstractNumId w:val="5"/>
  </w:num>
  <w:num w:numId="4" w16cid:durableId="353894651">
    <w:abstractNumId w:val="2"/>
  </w:num>
  <w:num w:numId="5" w16cid:durableId="1042948431">
    <w:abstractNumId w:val="6"/>
  </w:num>
  <w:num w:numId="6" w16cid:durableId="455417434">
    <w:abstractNumId w:val="3"/>
  </w:num>
  <w:num w:numId="7" w16cid:durableId="1529753957">
    <w:abstractNumId w:val="4"/>
  </w:num>
  <w:num w:numId="8" w16cid:durableId="1567759107">
    <w:abstractNumId w:val="8"/>
  </w:num>
  <w:num w:numId="9" w16cid:durableId="1300457654">
    <w:abstractNumId w:val="7"/>
  </w:num>
  <w:num w:numId="10" w16cid:durableId="1593540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7B"/>
    <w:rsid w:val="00004AFF"/>
    <w:rsid w:val="0010025E"/>
    <w:rsid w:val="001D6BBC"/>
    <w:rsid w:val="0027353C"/>
    <w:rsid w:val="002819DC"/>
    <w:rsid w:val="002841E6"/>
    <w:rsid w:val="00353B15"/>
    <w:rsid w:val="00363871"/>
    <w:rsid w:val="0037180D"/>
    <w:rsid w:val="003C1168"/>
    <w:rsid w:val="003D1265"/>
    <w:rsid w:val="00581127"/>
    <w:rsid w:val="005B3BF3"/>
    <w:rsid w:val="0069392A"/>
    <w:rsid w:val="006C217B"/>
    <w:rsid w:val="006E22CE"/>
    <w:rsid w:val="0076074A"/>
    <w:rsid w:val="007C6DDD"/>
    <w:rsid w:val="008309A5"/>
    <w:rsid w:val="008521FA"/>
    <w:rsid w:val="0086227F"/>
    <w:rsid w:val="008B221D"/>
    <w:rsid w:val="009B5E5F"/>
    <w:rsid w:val="009B6E59"/>
    <w:rsid w:val="00A7462B"/>
    <w:rsid w:val="00AC1F67"/>
    <w:rsid w:val="00B00606"/>
    <w:rsid w:val="00B42284"/>
    <w:rsid w:val="00C20C7A"/>
    <w:rsid w:val="00C34A8F"/>
    <w:rsid w:val="00C611C7"/>
    <w:rsid w:val="00C67AC4"/>
    <w:rsid w:val="00CE7748"/>
    <w:rsid w:val="00CF0E3A"/>
    <w:rsid w:val="00D4515D"/>
    <w:rsid w:val="00D74A13"/>
    <w:rsid w:val="00DC24B2"/>
    <w:rsid w:val="00E46891"/>
    <w:rsid w:val="00EB683B"/>
    <w:rsid w:val="00EF06E0"/>
    <w:rsid w:val="00F540AE"/>
    <w:rsid w:val="00F5693D"/>
    <w:rsid w:val="00F5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9C97"/>
  <w15:chartTrackingRefBased/>
  <w15:docId w15:val="{12FC0E42-95D5-4042-A671-231C2C6A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17B"/>
    <w:pPr>
      <w:widowControl w:val="0"/>
      <w:autoSpaceDE w:val="0"/>
      <w:autoSpaceDN w:val="0"/>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217B"/>
    <w:rPr>
      <w:sz w:val="24"/>
      <w:szCs w:val="24"/>
    </w:rPr>
  </w:style>
  <w:style w:type="character" w:customStyle="1" w:styleId="BodyTextChar">
    <w:name w:val="Body Text Char"/>
    <w:basedOn w:val="DefaultParagraphFont"/>
    <w:link w:val="BodyText"/>
    <w:uiPriority w:val="1"/>
    <w:rsid w:val="006C217B"/>
    <w:rPr>
      <w:rFonts w:eastAsia="Times New Roman"/>
      <w:sz w:val="24"/>
      <w:szCs w:val="24"/>
    </w:rPr>
  </w:style>
  <w:style w:type="paragraph" w:styleId="Header">
    <w:name w:val="header"/>
    <w:basedOn w:val="Normal"/>
    <w:link w:val="HeaderChar"/>
    <w:uiPriority w:val="99"/>
    <w:unhideWhenUsed/>
    <w:rsid w:val="008309A5"/>
    <w:pPr>
      <w:tabs>
        <w:tab w:val="center" w:pos="4680"/>
        <w:tab w:val="right" w:pos="9360"/>
      </w:tabs>
    </w:pPr>
  </w:style>
  <w:style w:type="character" w:customStyle="1" w:styleId="HeaderChar">
    <w:name w:val="Header Char"/>
    <w:basedOn w:val="DefaultParagraphFont"/>
    <w:link w:val="Header"/>
    <w:uiPriority w:val="99"/>
    <w:rsid w:val="008309A5"/>
    <w:rPr>
      <w:rFonts w:eastAsia="Times New Roman"/>
    </w:rPr>
  </w:style>
  <w:style w:type="paragraph" w:styleId="Footer">
    <w:name w:val="footer"/>
    <w:basedOn w:val="Normal"/>
    <w:link w:val="FooterChar"/>
    <w:uiPriority w:val="99"/>
    <w:unhideWhenUsed/>
    <w:rsid w:val="008309A5"/>
    <w:pPr>
      <w:tabs>
        <w:tab w:val="center" w:pos="4680"/>
        <w:tab w:val="right" w:pos="9360"/>
      </w:tabs>
    </w:pPr>
  </w:style>
  <w:style w:type="character" w:customStyle="1" w:styleId="FooterChar">
    <w:name w:val="Footer Char"/>
    <w:basedOn w:val="DefaultParagraphFont"/>
    <w:link w:val="Footer"/>
    <w:uiPriority w:val="99"/>
    <w:rsid w:val="008309A5"/>
    <w:rPr>
      <w:rFonts w:eastAsia="Times New Roman"/>
    </w:rPr>
  </w:style>
  <w:style w:type="paragraph" w:styleId="ListParagraph">
    <w:name w:val="List Paragraph"/>
    <w:basedOn w:val="Normal"/>
    <w:uiPriority w:val="34"/>
    <w:qFormat/>
    <w:rsid w:val="0027353C"/>
    <w:pPr>
      <w:ind w:left="720"/>
      <w:contextualSpacing/>
    </w:pPr>
  </w:style>
  <w:style w:type="paragraph" w:customStyle="1" w:styleId="psection-1">
    <w:name w:val="psection-1"/>
    <w:basedOn w:val="Normal"/>
    <w:rsid w:val="009B6E59"/>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9B6E59"/>
    <w:rPr>
      <w:color w:val="0000FF"/>
      <w:u w:val="single"/>
    </w:rPr>
  </w:style>
  <w:style w:type="character" w:customStyle="1" w:styleId="enumxml">
    <w:name w:val="enumxml"/>
    <w:basedOn w:val="DefaultParagraphFont"/>
    <w:rsid w:val="009B6E59"/>
  </w:style>
  <w:style w:type="paragraph" w:styleId="Revision">
    <w:name w:val="Revision"/>
    <w:hidden/>
    <w:uiPriority w:val="99"/>
    <w:semiHidden/>
    <w:rsid w:val="009B5E5F"/>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efacf5417ca52732fda8830a7c27ba15&amp;term_occur=999&amp;term_src=Title:20:Chapter:V:Part:680:Subpart:D:680.4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w.cornell.edu/definitions/index.php?width=840&amp;height=800&amp;iframe=true&amp;def_id=3a905a266cd9dd2d2ddc27af5f21b033&amp;term_occur=999&amp;term_src=Title:20:Chapter:V:Part:680:Subpart:D:680.4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aw.cornell.edu/cfr/text/20/680.460" TargetMode="External"/><Relationship Id="rId4" Type="http://schemas.openxmlformats.org/officeDocument/2006/relationships/webSettings" Target="webSettings.xml"/><Relationship Id="rId9" Type="http://schemas.openxmlformats.org/officeDocument/2006/relationships/hyperlink" Target="https://www.law.cornell.edu/definitions/index.php?width=840&amp;height=800&amp;iframe=true&amp;def_id=5692ef9d8d3aff397f15e673ef8f01c7&amp;term_occur=999&amp;term_src=Title:20:Chapter:V:Part:680:Subpart:D:680.45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Staib, Joanna (DOL)</dc:creator>
  <cp:keywords/>
  <dc:description/>
  <cp:lastModifiedBy>Staib, Joanna (DOL)</cp:lastModifiedBy>
  <cp:revision>2</cp:revision>
  <dcterms:created xsi:type="dcterms:W3CDTF">2025-01-07T16:16:00Z</dcterms:created>
  <dcterms:modified xsi:type="dcterms:W3CDTF">2025-01-07T16:16:00Z</dcterms:modified>
</cp:coreProperties>
</file>